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2C" w:rsidRDefault="0057274F">
      <w:pPr>
        <w:pStyle w:val="BodyText"/>
        <w:ind w:left="271"/>
        <w:rPr>
          <w:rFonts w:ascii="Times New Roman"/>
          <w:sz w:val="20"/>
        </w:rPr>
      </w:pPr>
      <w:bookmarkStart w:id="0" w:name="_GoBack"/>
      <w:bookmarkEnd w:id="0"/>
      <w:r>
        <w:rPr>
          <w:noProof/>
        </w:rPr>
        <w:pict>
          <v:shapetype id="_x0000_t202" coordsize="21600,21600" o:spt="202" path="m,l,21600r21600,l21600,xe">
            <v:stroke joinstyle="miter"/>
            <v:path gradientshapeok="t" o:connecttype="rect"/>
          </v:shapetype>
          <v:shape id="Text Box 2" o:spid="_x0000_s1094" type="#_x0000_t202" style="position:absolute;left:0;text-align:left;margin-left:.65pt;margin-top:-1.55pt;width:559.6pt;height:21.15pt;z-index:25165516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p>
    <w:p w:rsidR="00BC7F00" w:rsidRPr="00BC7F00" w:rsidRDefault="00BC7F00" w:rsidP="005557D2">
      <w:pPr>
        <w:widowControl/>
        <w:spacing w:line="259" w:lineRule="auto"/>
        <w:rPr>
          <w:rFonts w:cs="Arial"/>
        </w:rPr>
      </w:pPr>
      <w:r w:rsidRPr="00BC7F00">
        <w:rPr>
          <w:rFonts w:cs="Arial"/>
          <w:b/>
          <w:bCs/>
        </w:rPr>
        <w:t>PRODUCT NAME:</w:t>
      </w:r>
      <w:r w:rsidRPr="00BC7F00">
        <w:rPr>
          <w:rFonts w:cs="Arial"/>
        </w:rPr>
        <w:t xml:space="preserve">   </w:t>
      </w:r>
      <w:r w:rsidR="005557D2">
        <w:rPr>
          <w:rFonts w:cs="Arial"/>
        </w:rPr>
        <w:t>MVB</w:t>
      </w:r>
      <w:r w:rsidRPr="00BC7F00">
        <w:rPr>
          <w:rFonts w:cs="Arial"/>
        </w:rPr>
        <w:t xml:space="preserve"> Part A Resin</w:t>
      </w:r>
    </w:p>
    <w:p w:rsidR="00BC7F00" w:rsidRDefault="00BC7F00" w:rsidP="00BC7F00">
      <w:pPr>
        <w:widowControl/>
        <w:spacing w:line="259" w:lineRule="auto"/>
        <w:rPr>
          <w:rFonts w:cs="Arial"/>
        </w:rPr>
      </w:pPr>
      <w:r w:rsidRPr="00BC7F00">
        <w:rPr>
          <w:rFonts w:cs="Arial"/>
          <w:b/>
          <w:bCs/>
        </w:rPr>
        <w:t>PRODUCT CODES:</w:t>
      </w:r>
      <w:r w:rsidR="005557D2">
        <w:rPr>
          <w:rFonts w:cs="Arial"/>
        </w:rPr>
        <w:t xml:space="preserve">  MVB</w:t>
      </w:r>
      <w:r w:rsidRPr="00BC7F00">
        <w:rPr>
          <w:rFonts w:cs="Arial"/>
        </w:rPr>
        <w:t xml:space="preserve"> Epoxy Part A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p>
    <w:p w:rsidR="00BC7F00" w:rsidRPr="00BC7F00" w:rsidRDefault="00BC7F00" w:rsidP="00BC7F00">
      <w:pPr>
        <w:widowControl/>
        <w:rPr>
          <w:rFonts w:cs="Arial"/>
        </w:rPr>
      </w:pPr>
      <w:r w:rsidRPr="00BC7F00">
        <w:rPr>
          <w:rFonts w:cs="Arial"/>
        </w:rPr>
        <w:t>1-252-747-3735</w:t>
      </w:r>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p>
    <w:p w:rsidR="00BC7F00" w:rsidRPr="00BC7F00" w:rsidRDefault="00BC7F00" w:rsidP="00BC7F00">
      <w:pPr>
        <w:widowControl/>
        <w:spacing w:line="259" w:lineRule="auto"/>
        <w:rPr>
          <w:rFonts w:cs="Arial"/>
          <w:b/>
          <w:bCs/>
        </w:rPr>
      </w:pPr>
      <w:r w:rsidRPr="00BC7F00">
        <w:rPr>
          <w:rFonts w:cs="Arial"/>
          <w:b/>
          <w:bCs/>
        </w:rPr>
        <w:t>CHEMICAL SPILL</w:t>
      </w:r>
    </w:p>
    <w:p w:rsidR="00BC7F00" w:rsidRDefault="00BC7F00" w:rsidP="009434DA">
      <w:pPr>
        <w:widowControl/>
        <w:rPr>
          <w:rFonts w:cs="Arial"/>
        </w:rPr>
      </w:pPr>
      <w:r w:rsidRPr="00BC7F00">
        <w:rPr>
          <w:rFonts w:cs="Arial"/>
          <w:b/>
          <w:bCs/>
        </w:rPr>
        <w:t>EMERGENCY PHONE:</w:t>
      </w:r>
      <w:r w:rsidRPr="00BC7F00">
        <w:rPr>
          <w:rFonts w:cs="Arial"/>
        </w:rPr>
        <w:t xml:space="preserve"> </w:t>
      </w:r>
      <w:r w:rsidR="009434DA" w:rsidRPr="009434DA">
        <w:rPr>
          <w:rFonts w:cs="Arial"/>
        </w:rPr>
        <w:t>800-255-3924</w:t>
      </w:r>
    </w:p>
    <w:p w:rsidR="009434DA" w:rsidRPr="00BC7F00" w:rsidRDefault="009434DA" w:rsidP="009434DA">
      <w:pPr>
        <w:widowControl/>
        <w:rPr>
          <w:rFonts w:cs="Arial"/>
        </w:rPr>
      </w:pPr>
    </w:p>
    <w:p w:rsidR="005E112C" w:rsidRDefault="0057274F">
      <w:pPr>
        <w:rPr>
          <w:rFonts w:ascii="PMingLiU"/>
          <w:sz w:val="10"/>
        </w:rPr>
      </w:pPr>
      <w:r>
        <w:rPr>
          <w:noProof/>
        </w:rPr>
        <w:pict>
          <v:shape id="_x0000_s1095" type="#_x0000_t202" style="position:absolute;margin-left:.65pt;margin-top:14pt;width:559.6pt;height:23.45pt;z-index:2516561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D931F6" w:rsidRPr="00D931F6" w:rsidRDefault="00D931F6" w:rsidP="00D931F6">
      <w:pPr>
        <w:widowControl/>
        <w:ind w:left="2160"/>
        <w:rPr>
          <w:rFonts w:cs="Arial"/>
          <w:sz w:val="18"/>
          <w:szCs w:val="18"/>
        </w:rPr>
      </w:pPr>
      <w:r w:rsidRPr="00D931F6">
        <w:rPr>
          <w:rFonts w:cs="Arial"/>
          <w:sz w:val="18"/>
          <w:szCs w:val="18"/>
        </w:rPr>
        <w:t xml:space="preserve">Skin Irritation: Category 2 </w:t>
      </w:r>
    </w:p>
    <w:p w:rsidR="00D931F6" w:rsidRPr="00D931F6" w:rsidRDefault="00D931F6" w:rsidP="00D931F6">
      <w:pPr>
        <w:widowControl/>
        <w:ind w:left="2160"/>
        <w:rPr>
          <w:rFonts w:cs="Arial"/>
          <w:sz w:val="18"/>
          <w:szCs w:val="18"/>
        </w:rPr>
      </w:pPr>
      <w:r w:rsidRPr="00D931F6">
        <w:rPr>
          <w:rFonts w:cs="Arial"/>
          <w:sz w:val="18"/>
          <w:szCs w:val="18"/>
        </w:rPr>
        <w:t xml:space="preserve">Eye Irritation: Category 2A </w:t>
      </w:r>
    </w:p>
    <w:p w:rsidR="00D931F6" w:rsidRPr="00D931F6" w:rsidRDefault="00D931F6" w:rsidP="00D931F6">
      <w:pPr>
        <w:widowControl/>
        <w:ind w:left="2160"/>
        <w:rPr>
          <w:rFonts w:cs="Arial"/>
          <w:sz w:val="18"/>
          <w:szCs w:val="18"/>
        </w:rPr>
      </w:pPr>
      <w:r w:rsidRPr="00D931F6">
        <w:rPr>
          <w:rFonts w:cs="Arial"/>
          <w:sz w:val="18"/>
          <w:szCs w:val="18"/>
        </w:rPr>
        <w:t>Skin sensitization: Category 1</w:t>
      </w:r>
    </w:p>
    <w:p w:rsidR="00D931F6" w:rsidRPr="00D931F6" w:rsidRDefault="00D931F6" w:rsidP="00D931F6">
      <w:pPr>
        <w:widowControl/>
        <w:ind w:left="2160"/>
        <w:rPr>
          <w:rFonts w:cs="Arial"/>
          <w:sz w:val="18"/>
          <w:szCs w:val="18"/>
        </w:rPr>
      </w:pPr>
      <w:r w:rsidRPr="00D931F6">
        <w:rPr>
          <w:rFonts w:cs="Arial"/>
          <w:sz w:val="18"/>
          <w:szCs w:val="18"/>
        </w:rPr>
        <w:t xml:space="preserve">Acute aquatic toxicity: Category 2 </w:t>
      </w:r>
    </w:p>
    <w:p w:rsidR="00D931F6" w:rsidRPr="00D931F6" w:rsidRDefault="00D931F6" w:rsidP="00D931F6">
      <w:pPr>
        <w:widowControl/>
        <w:ind w:left="2160"/>
        <w:rPr>
          <w:rFonts w:cs="Arial"/>
          <w:sz w:val="18"/>
          <w:szCs w:val="18"/>
        </w:rPr>
      </w:pPr>
      <w:r w:rsidRPr="00D931F6">
        <w:rPr>
          <w:rFonts w:cs="Arial"/>
          <w:sz w:val="18"/>
          <w:szCs w:val="18"/>
        </w:rPr>
        <w:t>Chronic aquatic toxicity: Category 2</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28425E" w:rsidP="0028425E">
      <w:pPr>
        <w:widowControl/>
        <w:rPr>
          <w:rFonts w:cs="Arial"/>
          <w:b/>
          <w:bCs/>
          <w:sz w:val="18"/>
          <w:szCs w:val="18"/>
        </w:rPr>
      </w:pPr>
      <w:r w:rsidRPr="0028425E">
        <w:rPr>
          <w:noProof/>
          <w:sz w:val="18"/>
          <w:szCs w:val="18"/>
        </w:rPr>
        <w:drawing>
          <wp:anchor distT="0" distB="0" distL="0" distR="0" simplePos="0" relativeHeight="251658752" behindDoc="0" locked="0" layoutInCell="1" allowOverlap="1" wp14:anchorId="62CABD9A" wp14:editId="16D8B85B">
            <wp:simplePos x="0" y="0"/>
            <wp:positionH relativeFrom="margin">
              <wp:posOffset>2314575</wp:posOffset>
            </wp:positionH>
            <wp:positionV relativeFrom="paragraph">
              <wp:posOffset>11430</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25280" cy="475868"/>
                    </a:xfrm>
                    <a:prstGeom prst="rect">
                      <a:avLst/>
                    </a:prstGeom>
                  </pic:spPr>
                </pic:pic>
              </a:graphicData>
            </a:graphic>
          </wp:anchor>
        </w:drawing>
      </w:r>
      <w:r w:rsidRPr="0028425E">
        <w:rPr>
          <w:noProof/>
          <w:sz w:val="18"/>
          <w:szCs w:val="18"/>
        </w:rPr>
        <w:drawing>
          <wp:anchor distT="0" distB="0" distL="0" distR="0" simplePos="0" relativeHeight="251653632" behindDoc="0" locked="0" layoutInCell="1" allowOverlap="1" wp14:anchorId="18F0118D" wp14:editId="4CDE01C6">
            <wp:simplePos x="0" y="0"/>
            <wp:positionH relativeFrom="page">
              <wp:posOffset>2162175</wp:posOffset>
            </wp:positionH>
            <wp:positionV relativeFrom="paragraph">
              <wp:posOffset>11430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08635" cy="489585"/>
                    </a:xfrm>
                    <a:prstGeom prst="rect">
                      <a:avLst/>
                    </a:prstGeom>
                  </pic:spPr>
                </pic:pic>
              </a:graphicData>
            </a:graphic>
          </wp:anchor>
        </w:drawing>
      </w:r>
      <w:r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Pr="0028425E">
        <w:rPr>
          <w:rFonts w:cs="Arial"/>
          <w:sz w:val="18"/>
          <w:szCs w:val="18"/>
        </w:rPr>
        <w:t xml:space="preserve"> Warning</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D931F6" w:rsidRPr="00D931F6" w:rsidRDefault="00D931F6" w:rsidP="00D931F6">
      <w:pPr>
        <w:widowControl/>
        <w:ind w:left="2160"/>
        <w:rPr>
          <w:rFonts w:cs="Arial"/>
          <w:sz w:val="18"/>
          <w:szCs w:val="18"/>
        </w:rPr>
      </w:pPr>
      <w:r w:rsidRPr="00D931F6">
        <w:rPr>
          <w:rFonts w:cs="Arial"/>
          <w:sz w:val="18"/>
          <w:szCs w:val="18"/>
        </w:rPr>
        <w:t xml:space="preserve">H319 Causes serious eye irritation. </w:t>
      </w:r>
    </w:p>
    <w:p w:rsidR="00D931F6" w:rsidRPr="00D931F6" w:rsidRDefault="00D931F6" w:rsidP="00D931F6">
      <w:pPr>
        <w:widowControl/>
        <w:ind w:left="2160"/>
        <w:rPr>
          <w:rFonts w:cs="Arial"/>
          <w:sz w:val="18"/>
          <w:szCs w:val="18"/>
        </w:rPr>
      </w:pPr>
      <w:r w:rsidRPr="00D931F6">
        <w:rPr>
          <w:rFonts w:cs="Arial"/>
          <w:sz w:val="18"/>
          <w:szCs w:val="18"/>
        </w:rPr>
        <w:t>H315 Causes skin irritation.</w:t>
      </w:r>
    </w:p>
    <w:p w:rsidR="00D931F6" w:rsidRPr="00D931F6" w:rsidRDefault="00D931F6" w:rsidP="00D931F6">
      <w:pPr>
        <w:widowControl/>
        <w:ind w:left="2160"/>
        <w:rPr>
          <w:rFonts w:cs="Arial"/>
          <w:sz w:val="18"/>
          <w:szCs w:val="18"/>
        </w:rPr>
      </w:pPr>
      <w:r w:rsidRPr="00D931F6">
        <w:rPr>
          <w:rFonts w:cs="Arial"/>
          <w:sz w:val="18"/>
          <w:szCs w:val="18"/>
        </w:rPr>
        <w:t xml:space="preserve">H317 May cause an allergic skin reaction. </w:t>
      </w:r>
    </w:p>
    <w:p w:rsidR="00D931F6" w:rsidRPr="00D931F6" w:rsidRDefault="00D931F6" w:rsidP="00D931F6">
      <w:pPr>
        <w:widowControl/>
        <w:ind w:left="2160"/>
        <w:rPr>
          <w:rFonts w:cs="Arial"/>
          <w:sz w:val="18"/>
          <w:szCs w:val="18"/>
        </w:rPr>
      </w:pPr>
      <w:r w:rsidRPr="00D931F6">
        <w:rPr>
          <w:rFonts w:cs="Arial"/>
          <w:sz w:val="18"/>
          <w:szCs w:val="18"/>
        </w:rPr>
        <w:t>H401 Toxic to aquatic life.</w:t>
      </w:r>
    </w:p>
    <w:p w:rsidR="00D931F6" w:rsidRPr="00D931F6" w:rsidRDefault="00D931F6" w:rsidP="00D931F6">
      <w:pPr>
        <w:widowControl/>
        <w:ind w:left="2160"/>
        <w:rPr>
          <w:rFonts w:cs="Arial"/>
          <w:sz w:val="18"/>
          <w:szCs w:val="18"/>
        </w:rPr>
      </w:pPr>
      <w:r w:rsidRPr="00D931F6">
        <w:rPr>
          <w:rFonts w:cs="Arial"/>
          <w:sz w:val="18"/>
          <w:szCs w:val="18"/>
        </w:rPr>
        <w:t>H411 Toxic to aquatic life with long lasting effects.</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 xml:space="preserve">(Prevention)                                        </w:t>
      </w:r>
    </w:p>
    <w:p w:rsidR="00D931F6" w:rsidRPr="00D931F6" w:rsidRDefault="00D931F6" w:rsidP="00D931F6">
      <w:pPr>
        <w:widowControl/>
        <w:ind w:left="2160"/>
        <w:rPr>
          <w:rFonts w:cs="Arial"/>
          <w:sz w:val="18"/>
          <w:szCs w:val="18"/>
        </w:rPr>
      </w:pPr>
      <w:r w:rsidRPr="00D931F6">
        <w:rPr>
          <w:rFonts w:cs="Arial"/>
          <w:sz w:val="18"/>
          <w:szCs w:val="18"/>
        </w:rPr>
        <w:t xml:space="preserve">P280 Wear protective gloves and eye/face protection. </w:t>
      </w:r>
    </w:p>
    <w:p w:rsidR="00D931F6" w:rsidRPr="00D931F6" w:rsidRDefault="00D931F6" w:rsidP="00D931F6">
      <w:pPr>
        <w:widowControl/>
        <w:ind w:left="2160"/>
        <w:rPr>
          <w:rFonts w:cs="Arial"/>
          <w:sz w:val="18"/>
          <w:szCs w:val="18"/>
        </w:rPr>
      </w:pPr>
      <w:r w:rsidRPr="00D931F6">
        <w:rPr>
          <w:rFonts w:cs="Arial"/>
          <w:sz w:val="18"/>
          <w:szCs w:val="18"/>
        </w:rPr>
        <w:t xml:space="preserve">P261 Avoid breathing dust/fume/gas/mist/vapors/spray. </w:t>
      </w:r>
    </w:p>
    <w:p w:rsidR="00D931F6" w:rsidRPr="00D931F6" w:rsidRDefault="00D931F6" w:rsidP="00D931F6">
      <w:pPr>
        <w:widowControl/>
        <w:ind w:left="2160"/>
        <w:rPr>
          <w:rFonts w:cs="Arial"/>
          <w:sz w:val="18"/>
          <w:szCs w:val="18"/>
        </w:rPr>
      </w:pPr>
      <w:r w:rsidRPr="00D931F6">
        <w:rPr>
          <w:rFonts w:cs="Arial"/>
          <w:sz w:val="18"/>
          <w:szCs w:val="18"/>
        </w:rPr>
        <w:t>P273 Avoid release to the environment.</w:t>
      </w:r>
    </w:p>
    <w:p w:rsidR="00D931F6" w:rsidRPr="00D931F6" w:rsidRDefault="00D931F6" w:rsidP="00D931F6">
      <w:pPr>
        <w:widowControl/>
        <w:ind w:left="2160"/>
        <w:rPr>
          <w:rFonts w:cs="Arial"/>
          <w:sz w:val="18"/>
          <w:szCs w:val="18"/>
        </w:rPr>
      </w:pPr>
      <w:r w:rsidRPr="00D931F6">
        <w:rPr>
          <w:rFonts w:cs="Arial"/>
          <w:sz w:val="18"/>
          <w:szCs w:val="18"/>
        </w:rPr>
        <w:t xml:space="preserve">P272 Contaminated work clothing should not be allowed out of the workplace. </w:t>
      </w:r>
    </w:p>
    <w:p w:rsidR="00D931F6" w:rsidRPr="00D931F6" w:rsidRDefault="00D931F6" w:rsidP="00D931F6">
      <w:pPr>
        <w:widowControl/>
        <w:ind w:left="2160"/>
        <w:rPr>
          <w:rFonts w:cs="Arial"/>
          <w:sz w:val="18"/>
          <w:szCs w:val="18"/>
        </w:rPr>
      </w:pPr>
      <w:r w:rsidRPr="00D931F6">
        <w:rPr>
          <w:rFonts w:cs="Arial"/>
          <w:sz w:val="18"/>
          <w:szCs w:val="18"/>
        </w:rPr>
        <w:t>P264 Wash with plenty of water and soap thoroughly after handling.</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(Response)</w:t>
      </w:r>
    </w:p>
    <w:p w:rsidR="007F0C5C" w:rsidRPr="007F0C5C" w:rsidRDefault="007F0C5C" w:rsidP="007F0C5C">
      <w:pPr>
        <w:widowControl/>
        <w:spacing w:line="259" w:lineRule="auto"/>
        <w:ind w:left="2160"/>
        <w:rPr>
          <w:rFonts w:cs="Arial"/>
          <w:sz w:val="18"/>
          <w:szCs w:val="18"/>
        </w:rPr>
      </w:pPr>
      <w:r w:rsidRPr="007F0C5C">
        <w:rPr>
          <w:rFonts w:cs="Arial"/>
          <w:sz w:val="18"/>
          <w:szCs w:val="18"/>
        </w:rPr>
        <w:t>P305 + P351 + P338 IF IN EYES: Rinse cautiously with water for several minutes. Remove contact lenses, if present and easy to do. Continue rinsing.</w:t>
      </w:r>
    </w:p>
    <w:p w:rsidR="007F0C5C" w:rsidRPr="007F0C5C" w:rsidRDefault="007F0C5C" w:rsidP="007F0C5C">
      <w:pPr>
        <w:widowControl/>
        <w:spacing w:line="259" w:lineRule="auto"/>
        <w:ind w:left="2160"/>
        <w:rPr>
          <w:rFonts w:cs="Arial"/>
          <w:sz w:val="18"/>
          <w:szCs w:val="18"/>
        </w:rPr>
      </w:pPr>
      <w:r w:rsidRPr="007F0C5C">
        <w:rPr>
          <w:rFonts w:cs="Arial"/>
          <w:sz w:val="18"/>
          <w:szCs w:val="18"/>
        </w:rPr>
        <w:t xml:space="preserve">P333 + P311 If skin irritation or rash occurs: Call a POISON CENTER or Doctor/physician. </w:t>
      </w:r>
    </w:p>
    <w:p w:rsidR="007F0C5C" w:rsidRPr="007F0C5C" w:rsidRDefault="007F0C5C" w:rsidP="007F0C5C">
      <w:pPr>
        <w:widowControl/>
        <w:spacing w:line="259" w:lineRule="auto"/>
        <w:ind w:left="2160"/>
        <w:rPr>
          <w:rFonts w:cs="Arial"/>
          <w:sz w:val="18"/>
          <w:szCs w:val="18"/>
        </w:rPr>
      </w:pPr>
      <w:r w:rsidRPr="007F0C5C">
        <w:rPr>
          <w:rFonts w:cs="Arial"/>
          <w:sz w:val="18"/>
          <w:szCs w:val="18"/>
        </w:rPr>
        <w:t>P303 + P352 IF ON SKIN (or hair): Wash with plenty of soap and water.</w:t>
      </w:r>
    </w:p>
    <w:p w:rsidR="007F0C5C" w:rsidRPr="007F0C5C" w:rsidRDefault="007F0C5C" w:rsidP="007F0C5C">
      <w:pPr>
        <w:widowControl/>
        <w:spacing w:line="259" w:lineRule="auto"/>
        <w:ind w:left="2160"/>
        <w:rPr>
          <w:rFonts w:cs="Arial"/>
          <w:sz w:val="18"/>
          <w:szCs w:val="18"/>
        </w:rPr>
      </w:pPr>
      <w:r w:rsidRPr="007F0C5C">
        <w:rPr>
          <w:rFonts w:cs="Arial"/>
          <w:sz w:val="18"/>
          <w:szCs w:val="18"/>
        </w:rPr>
        <w:lastRenderedPageBreak/>
        <w:t xml:space="preserve">P332 + P313 If skin irritation occurs: Get medical advice/attention. </w:t>
      </w:r>
    </w:p>
    <w:p w:rsidR="007F0C5C" w:rsidRPr="007F0C5C" w:rsidRDefault="007F0C5C" w:rsidP="007F0C5C">
      <w:pPr>
        <w:widowControl/>
        <w:spacing w:line="259" w:lineRule="auto"/>
        <w:ind w:left="2160"/>
        <w:rPr>
          <w:rFonts w:cs="Arial"/>
          <w:sz w:val="18"/>
          <w:szCs w:val="18"/>
        </w:rPr>
      </w:pPr>
      <w:r w:rsidRPr="007F0C5C">
        <w:rPr>
          <w:rFonts w:cs="Arial"/>
          <w:sz w:val="18"/>
          <w:szCs w:val="18"/>
        </w:rPr>
        <w:t xml:space="preserve">P362 + P364 Take off contaminated clothing and wash before reuse. </w:t>
      </w:r>
    </w:p>
    <w:p w:rsidR="007F0C5C" w:rsidRPr="007F0C5C" w:rsidRDefault="007F0C5C" w:rsidP="007F0C5C">
      <w:pPr>
        <w:widowControl/>
        <w:spacing w:line="259" w:lineRule="auto"/>
        <w:ind w:left="2160"/>
        <w:rPr>
          <w:rFonts w:cs="Arial"/>
          <w:sz w:val="18"/>
          <w:szCs w:val="18"/>
        </w:rPr>
      </w:pPr>
      <w:r w:rsidRPr="007F0C5C">
        <w:rPr>
          <w:rFonts w:cs="Arial"/>
          <w:sz w:val="18"/>
          <w:szCs w:val="18"/>
        </w:rPr>
        <w:t>P391 Collect spillage.</w:t>
      </w:r>
    </w:p>
    <w:p w:rsidR="007F0C5C" w:rsidRPr="007F0C5C" w:rsidRDefault="007F0C5C" w:rsidP="007F0C5C">
      <w:pPr>
        <w:widowControl/>
        <w:spacing w:line="259" w:lineRule="auto"/>
        <w:ind w:left="2160"/>
        <w:rPr>
          <w:rFonts w:cs="Arial"/>
          <w:sz w:val="18"/>
          <w:szCs w:val="18"/>
        </w:rPr>
      </w:pPr>
      <w:r w:rsidRPr="007F0C5C">
        <w:rPr>
          <w:rFonts w:cs="Arial"/>
          <w:sz w:val="18"/>
          <w:szCs w:val="18"/>
        </w:rPr>
        <w:t>P337 + P311 If eye irritation persists: Call a POISON CENTER or doctor/physician.</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(Disposal)</w:t>
      </w:r>
    </w:p>
    <w:p w:rsidR="0028425E" w:rsidRPr="0028425E" w:rsidRDefault="0028425E" w:rsidP="0028425E">
      <w:pPr>
        <w:widowControl/>
        <w:ind w:left="2160"/>
        <w:rPr>
          <w:rFonts w:cs="Arial"/>
          <w:sz w:val="18"/>
          <w:szCs w:val="18"/>
        </w:rPr>
        <w:sectPr w:rsidR="0028425E" w:rsidRPr="0028425E">
          <w:headerReference w:type="default" r:id="rId10"/>
          <w:footerReference w:type="default" r:id="rId11"/>
          <w:type w:val="continuous"/>
          <w:pgSz w:w="12240" w:h="15840"/>
          <w:pgMar w:top="900" w:right="420" w:bottom="1260" w:left="600" w:header="720" w:footer="1066" w:gutter="0"/>
          <w:pgNumType w:start="1"/>
          <w:cols w:space="720"/>
        </w:sectPr>
      </w:pPr>
      <w:r w:rsidRPr="0028425E">
        <w:rPr>
          <w:rFonts w:cs="Arial"/>
          <w:sz w:val="18"/>
          <w:szCs w:val="18"/>
        </w:rPr>
        <w:t xml:space="preserve">P501 Dispose of contents/container to hazardous or special waste collection </w:t>
      </w:r>
      <w:r>
        <w:rPr>
          <w:rFonts w:cs="Arial"/>
          <w:sz w:val="18"/>
          <w:szCs w:val="18"/>
        </w:rPr>
        <w:t>point.</w:t>
      </w:r>
    </w:p>
    <w:p w:rsidR="005E112C" w:rsidRPr="00BC7F00" w:rsidRDefault="005E112C"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p>
    <w:p w:rsidR="005E112C" w:rsidRPr="00BC7F00" w:rsidRDefault="0057274F"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r>
        <w:rPr>
          <w:noProof/>
        </w:rPr>
        <w:pict>
          <v:shape id="_x0000_s1097" type="#_x0000_t202" style="position:absolute;margin-left:.75pt;margin-top:7.8pt;width:559.7pt;height:24.9pt;z-index:25165926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p>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tbl>
      <w:tblPr>
        <w:tblStyle w:val="TableGrid1"/>
        <w:tblpPr w:leftFromText="180" w:rightFromText="180" w:vertAnchor="text" w:horzAnchor="margin" w:tblpX="216" w:tblpY="64"/>
        <w:tblW w:w="11088" w:type="dxa"/>
        <w:tblLook w:val="04A0" w:firstRow="1" w:lastRow="0" w:firstColumn="1" w:lastColumn="0" w:noHBand="0" w:noVBand="1"/>
      </w:tblPr>
      <w:tblGrid>
        <w:gridCol w:w="3282"/>
        <w:gridCol w:w="3606"/>
        <w:gridCol w:w="4200"/>
      </w:tblGrid>
      <w:tr w:rsidR="00EF1F75" w:rsidRPr="00D13F12" w:rsidTr="00EF1F75">
        <w:tc>
          <w:tcPr>
            <w:tcW w:w="3282" w:type="dxa"/>
          </w:tcPr>
          <w:p w:rsidR="00EF1F75" w:rsidRPr="00D13F12" w:rsidRDefault="00EF1F75" w:rsidP="00EF1F75">
            <w:pPr>
              <w:spacing w:before="69"/>
              <w:ind w:right="-5"/>
              <w:jc w:val="center"/>
            </w:pPr>
            <w:r w:rsidRPr="00D13F12">
              <w:t>INGREDIENTS</w:t>
            </w:r>
          </w:p>
        </w:tc>
        <w:tc>
          <w:tcPr>
            <w:tcW w:w="3606" w:type="dxa"/>
          </w:tcPr>
          <w:p w:rsidR="00EF1F75" w:rsidRPr="00D13F12" w:rsidRDefault="00EF1F75" w:rsidP="00EF1F75">
            <w:pPr>
              <w:spacing w:before="69"/>
              <w:ind w:right="-5"/>
              <w:jc w:val="center"/>
            </w:pPr>
            <w:r w:rsidRPr="00D13F12">
              <w:t>% BY WEIGHT</w:t>
            </w:r>
          </w:p>
        </w:tc>
        <w:tc>
          <w:tcPr>
            <w:tcW w:w="4200" w:type="dxa"/>
          </w:tcPr>
          <w:p w:rsidR="00EF1F75" w:rsidRPr="00D13F12" w:rsidRDefault="00EF1F75" w:rsidP="00EF1F75">
            <w:pPr>
              <w:spacing w:before="69"/>
              <w:ind w:right="-5"/>
              <w:jc w:val="center"/>
            </w:pPr>
            <w:r w:rsidRPr="00D13F12">
              <w:t>CAS NUMBER</w:t>
            </w:r>
          </w:p>
        </w:tc>
      </w:tr>
      <w:tr w:rsidR="00EF1F75" w:rsidRPr="00D13F12" w:rsidTr="00EF1F75">
        <w:tc>
          <w:tcPr>
            <w:tcW w:w="3282" w:type="dxa"/>
          </w:tcPr>
          <w:p w:rsidR="00EF1F75" w:rsidRPr="00D13F12" w:rsidRDefault="00EF1F75" w:rsidP="00EF1F75">
            <w:pPr>
              <w:spacing w:before="69"/>
              <w:ind w:right="-5"/>
              <w:jc w:val="center"/>
            </w:pPr>
            <w:r w:rsidRPr="00D13F12">
              <w:t>Reaction products of Epichlorohydrin and Bisphenol A</w:t>
            </w:r>
          </w:p>
        </w:tc>
        <w:tc>
          <w:tcPr>
            <w:tcW w:w="3606" w:type="dxa"/>
          </w:tcPr>
          <w:p w:rsidR="00EF1F75" w:rsidRPr="00D13F12" w:rsidRDefault="007F0C5C" w:rsidP="00EF1F75">
            <w:pPr>
              <w:spacing w:before="69"/>
              <w:ind w:right="-5"/>
              <w:jc w:val="center"/>
            </w:pPr>
            <w:r>
              <w:t>Approximately 95</w:t>
            </w:r>
            <w:r w:rsidR="00EF1F75" w:rsidRPr="00D13F12">
              <w:t>%</w:t>
            </w:r>
          </w:p>
          <w:p w:rsidR="00EF1F75" w:rsidRPr="00D13F12" w:rsidRDefault="00EF1F75" w:rsidP="00EF1F75">
            <w:pPr>
              <w:spacing w:before="69"/>
              <w:ind w:right="-5"/>
              <w:jc w:val="center"/>
            </w:pPr>
          </w:p>
        </w:tc>
        <w:tc>
          <w:tcPr>
            <w:tcW w:w="4200" w:type="dxa"/>
          </w:tcPr>
          <w:p w:rsidR="00EF1F75" w:rsidRPr="00D13F12" w:rsidRDefault="00EF1F75" w:rsidP="00EF1F75">
            <w:pPr>
              <w:spacing w:before="69"/>
              <w:ind w:right="-5"/>
              <w:jc w:val="center"/>
            </w:pPr>
            <w:r w:rsidRPr="00D13F12">
              <w:t>25068-38-6</w:t>
            </w:r>
          </w:p>
          <w:p w:rsidR="00EF1F75" w:rsidRPr="00D13F12" w:rsidRDefault="00EF1F75" w:rsidP="00EF1F75">
            <w:pPr>
              <w:spacing w:before="69"/>
              <w:ind w:right="-5"/>
              <w:jc w:val="center"/>
            </w:pPr>
          </w:p>
        </w:tc>
      </w:tr>
      <w:tr w:rsidR="00EF1F75" w:rsidRPr="00D13F12" w:rsidTr="00EF1F75">
        <w:tc>
          <w:tcPr>
            <w:tcW w:w="3282" w:type="dxa"/>
          </w:tcPr>
          <w:p w:rsidR="00EF1F75" w:rsidRPr="00D13F12" w:rsidRDefault="00EF1F75" w:rsidP="00EF1F75">
            <w:pPr>
              <w:spacing w:before="69"/>
              <w:ind w:right="-5"/>
              <w:jc w:val="center"/>
            </w:pPr>
            <w:r w:rsidRPr="00D13F12">
              <w:rPr>
                <w:color w:val="231F20"/>
                <w:w w:val="105"/>
                <w:sz w:val="20"/>
              </w:rPr>
              <w:t>1,4-bis(2,3-epoxypropoxy)butane</w:t>
            </w:r>
          </w:p>
        </w:tc>
        <w:tc>
          <w:tcPr>
            <w:tcW w:w="3606" w:type="dxa"/>
          </w:tcPr>
          <w:p w:rsidR="00EF1F75" w:rsidRPr="00D13F12" w:rsidRDefault="007F0C5C" w:rsidP="00EF1F75">
            <w:pPr>
              <w:spacing w:before="69"/>
              <w:ind w:right="-5"/>
              <w:jc w:val="center"/>
            </w:pPr>
            <w:r>
              <w:t xml:space="preserve">Approximately 5 </w:t>
            </w:r>
            <w:r w:rsidR="00EF1F75" w:rsidRPr="00D13F12">
              <w:t>%</w:t>
            </w:r>
          </w:p>
          <w:p w:rsidR="00EF1F75" w:rsidRPr="00D13F12" w:rsidRDefault="00EF1F75" w:rsidP="00EF1F75">
            <w:pPr>
              <w:spacing w:before="69"/>
              <w:ind w:right="-5"/>
              <w:jc w:val="center"/>
            </w:pPr>
          </w:p>
        </w:tc>
        <w:tc>
          <w:tcPr>
            <w:tcW w:w="4200" w:type="dxa"/>
          </w:tcPr>
          <w:p w:rsidR="00EF1F75" w:rsidRPr="00D13F12" w:rsidRDefault="00EF1F75" w:rsidP="00EF1F75">
            <w:pPr>
              <w:spacing w:before="69"/>
              <w:ind w:right="-5"/>
              <w:jc w:val="center"/>
            </w:pPr>
            <w:r w:rsidRPr="00D13F12">
              <w:t>2425-79-8</w:t>
            </w:r>
          </w:p>
          <w:p w:rsidR="00EF1F75" w:rsidRPr="00D13F12" w:rsidRDefault="00EF1F75" w:rsidP="00EF1F75">
            <w:pPr>
              <w:spacing w:before="69"/>
              <w:ind w:right="-5"/>
              <w:jc w:val="center"/>
            </w:pPr>
          </w:p>
        </w:tc>
      </w:tr>
    </w:tbl>
    <w:p w:rsidR="00D13F12" w:rsidRDefault="00D13F12">
      <w:pPr>
        <w:pStyle w:val="BodyText"/>
        <w:rPr>
          <w:sz w:val="19"/>
        </w:rPr>
      </w:pPr>
    </w:p>
    <w:p w:rsidR="00D13F12" w:rsidRDefault="00D13F12" w:rsidP="00D13F12">
      <w:pPr>
        <w:pStyle w:val="BodyText"/>
        <w:rPr>
          <w:sz w:val="19"/>
        </w:rPr>
      </w:pPr>
    </w:p>
    <w:p w:rsidR="005E112C" w:rsidRPr="00D13F12" w:rsidRDefault="0057274F" w:rsidP="00D13F12">
      <w:pPr>
        <w:pStyle w:val="BodyText"/>
        <w:rPr>
          <w:sz w:val="19"/>
        </w:rPr>
      </w:pPr>
      <w:r>
        <w:rPr>
          <w:noProof/>
        </w:rPr>
        <w:pict>
          <v:shape id="_x0000_s1098" type="#_x0000_t202" style="position:absolute;margin-left:.75pt;margin-top:7.45pt;width:559.7pt;height:26.35pt;z-index:2516602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8">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p w:rsidR="00F81AE1" w:rsidRPr="00F81AE1" w:rsidRDefault="00F81AE1" w:rsidP="00F81AE1">
      <w:pPr>
        <w:widowControl/>
        <w:spacing w:after="160"/>
        <w:ind w:left="720"/>
        <w:rPr>
          <w:rFonts w:cs="Arial"/>
        </w:rPr>
      </w:pPr>
      <w:r w:rsidRPr="00F81AE1">
        <w:rPr>
          <w:rFonts w:cs="Arial"/>
          <w:b/>
          <w:bCs/>
        </w:rPr>
        <w:t>EYES:</w:t>
      </w:r>
      <w:r w:rsidRPr="00F81AE1">
        <w:rPr>
          <w:rFonts w:cs="Arial"/>
        </w:rPr>
        <w:t xml:space="preserve"> Irrigation of the eye immediately with water for fifteen minutes is a good safety practice.</w:t>
      </w:r>
    </w:p>
    <w:p w:rsidR="00F81AE1" w:rsidRDefault="00F81AE1" w:rsidP="00F81AE1">
      <w:pPr>
        <w:widowControl/>
        <w:spacing w:after="160"/>
        <w:ind w:left="720"/>
        <w:rPr>
          <w:rFonts w:cs="Arial"/>
        </w:rPr>
      </w:pPr>
      <w:r w:rsidRPr="00F81AE1">
        <w:rPr>
          <w:rFonts w:cs="Arial"/>
          <w:b/>
          <w:bCs/>
        </w:rPr>
        <w:t>SKIN:</w:t>
      </w:r>
      <w:r w:rsidRPr="00F81AE1">
        <w:rPr>
          <w:rFonts w:cs="Arial"/>
        </w:rPr>
        <w:t xml:space="preserve"> Contact will probably cause no more than irritation. Wash off in flowing water or shower. Wash clothing before reuse</w:t>
      </w:r>
      <w:r>
        <w:rPr>
          <w:rFonts w:cs="Arial"/>
        </w:rPr>
        <w:t>.</w:t>
      </w:r>
    </w:p>
    <w:p w:rsidR="00F81AE1" w:rsidRPr="00F81AE1" w:rsidRDefault="00F81AE1" w:rsidP="00F81AE1">
      <w:pPr>
        <w:widowControl/>
        <w:spacing w:after="160"/>
        <w:ind w:left="720"/>
        <w:rPr>
          <w:rFonts w:cs="Arial"/>
        </w:rPr>
      </w:pPr>
      <w:r w:rsidRPr="00F81AE1">
        <w:rPr>
          <w:rFonts w:cs="Arial"/>
          <w:b/>
          <w:bCs/>
        </w:rPr>
        <w:t>INGESTION:</w:t>
      </w:r>
      <w:r w:rsidRPr="00F81AE1">
        <w:rPr>
          <w:rFonts w:cs="Arial"/>
        </w:rPr>
        <w:t xml:space="preserve"> Low in toxicity. No adverse effects anticipated by this route of exposure incidental to proper industrial handling.</w:t>
      </w:r>
    </w:p>
    <w:p w:rsidR="00F81AE1" w:rsidRPr="00F81AE1" w:rsidRDefault="00F81AE1" w:rsidP="00F81AE1">
      <w:pPr>
        <w:widowControl/>
        <w:spacing w:after="160"/>
        <w:ind w:left="720"/>
        <w:rPr>
          <w:rFonts w:cs="Arial"/>
        </w:rPr>
      </w:pPr>
      <w:r w:rsidRPr="00F81AE1">
        <w:rPr>
          <w:rFonts w:cs="Arial"/>
          <w:b/>
          <w:bCs/>
        </w:rPr>
        <w:t>INHALATION:</w:t>
      </w:r>
      <w:r w:rsidRPr="00F81AE1">
        <w:rPr>
          <w:rFonts w:cs="Arial"/>
        </w:rPr>
        <w:t xml:space="preserve"> Remove to fresh air if effect occurs. Consult medical personnel</w:t>
      </w:r>
    </w:p>
    <w:p w:rsidR="00F81AE1" w:rsidRPr="00F81AE1" w:rsidRDefault="0057274F" w:rsidP="00F81AE1">
      <w:pPr>
        <w:widowControl/>
        <w:spacing w:after="160"/>
        <w:ind w:left="720"/>
        <w:rPr>
          <w:rFonts w:cs="Arial"/>
        </w:rPr>
      </w:pPr>
      <w:r>
        <w:rPr>
          <w:noProof/>
          <w:sz w:val="23"/>
        </w:rPr>
        <w:pict>
          <v:shape id="_x0000_s1099" type="#_x0000_t202" style="position:absolute;left:0;text-align:left;margin-left:.75pt;margin-top:41.9pt;width:559.7pt;height:24.9pt;z-index:251661312;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F81AE1" w:rsidRPr="00F81AE1">
        <w:rPr>
          <w:rFonts w:cs="Arial"/>
          <w:b/>
          <w:bCs/>
        </w:rPr>
        <w:t>NOTES TO PHYSICIANS:</w:t>
      </w:r>
      <w:r w:rsidR="00F81AE1" w:rsidRPr="00F81AE1">
        <w:rPr>
          <w:rFonts w:cs="Arial"/>
        </w:rPr>
        <w:t xml:space="preserve"> No specific antidote. Supportive care. Treatment based on judgment of the physician in response to reactions of the patient.</w:t>
      </w:r>
    </w:p>
    <w:p w:rsidR="005E112C" w:rsidRDefault="005E112C">
      <w:pPr>
        <w:rPr>
          <w:sz w:val="12"/>
        </w:rPr>
        <w:sectPr w:rsidR="005E112C">
          <w:type w:val="continuous"/>
          <w:pgSz w:w="12240" w:h="15840"/>
          <w:pgMar w:top="900" w:right="420" w:bottom="1260" w:left="600" w:header="720" w:footer="720" w:gutter="0"/>
          <w:cols w:space="720"/>
        </w:sectPr>
      </w:pPr>
    </w:p>
    <w:p w:rsidR="00F81AE1" w:rsidRPr="00F81AE1" w:rsidRDefault="00F81AE1" w:rsidP="00231706">
      <w:pPr>
        <w:widowControl/>
        <w:ind w:left="720"/>
        <w:rPr>
          <w:rFonts w:cs="Arial"/>
        </w:rPr>
      </w:pPr>
      <w:r w:rsidRPr="00F81AE1">
        <w:rPr>
          <w:rFonts w:cs="Arial"/>
          <w:b/>
          <w:bCs/>
        </w:rPr>
        <w:t>Extinguishing media:</w:t>
      </w:r>
      <w:r w:rsidRPr="00F81AE1">
        <w:rPr>
          <w:rFonts w:cs="Arial"/>
        </w:rPr>
        <w:t xml:space="preserve"> Suitable extinguishing media: foam, water spray, dry powder, carbon dioxide</w:t>
      </w:r>
    </w:p>
    <w:p w:rsidR="00F81AE1" w:rsidRPr="00F81AE1" w:rsidRDefault="00F81AE1" w:rsidP="00231706">
      <w:pPr>
        <w:widowControl/>
        <w:ind w:left="720"/>
        <w:rPr>
          <w:rFonts w:cs="Arial"/>
        </w:rPr>
      </w:pPr>
      <w:r w:rsidRPr="00F81AE1">
        <w:rPr>
          <w:rFonts w:cs="Arial"/>
          <w:b/>
          <w:bCs/>
        </w:rPr>
        <w:t>Special hazards arising from the substance or mixture:</w:t>
      </w:r>
      <w:r w:rsidRPr="00F81AE1">
        <w:rPr>
          <w:rFonts w:cs="Arial"/>
        </w:rPr>
        <w:t xml:space="preserve"> Carbon oxides, Hydrogen chloride gas, Hydrogen fluoride </w:t>
      </w:r>
    </w:p>
    <w:p w:rsidR="00231706" w:rsidRDefault="00F81AE1" w:rsidP="00231706">
      <w:pPr>
        <w:widowControl/>
        <w:ind w:left="720"/>
        <w:rPr>
          <w:rFonts w:cs="Arial"/>
        </w:rPr>
      </w:pPr>
      <w:r w:rsidRPr="00F81AE1">
        <w:rPr>
          <w:rFonts w:cs="Arial"/>
          <w:b/>
          <w:bCs/>
        </w:rPr>
        <w:t>Advice for firefighters:</w:t>
      </w:r>
      <w:r w:rsidRPr="00F81AE1">
        <w:rPr>
          <w:rFonts w:cs="Arial"/>
        </w:rPr>
        <w:t xml:space="preserve"> Wear self-contained breathing apparatus for firefighting if necessary.</w:t>
      </w:r>
    </w:p>
    <w:p w:rsidR="00F81AE1" w:rsidRDefault="00F81AE1" w:rsidP="00231706">
      <w:pPr>
        <w:widowControl/>
        <w:ind w:left="720"/>
        <w:rPr>
          <w:rFonts w:cs="Arial"/>
        </w:rPr>
      </w:pPr>
      <w:r w:rsidRPr="00F81AE1">
        <w:rPr>
          <w:rFonts w:cs="Arial"/>
          <w:b/>
          <w:bCs/>
        </w:rPr>
        <w:t>Further information:</w:t>
      </w:r>
      <w:r w:rsidRPr="00F81AE1">
        <w:rPr>
          <w:rFonts w:cs="Arial"/>
        </w:rPr>
        <w:t xml:space="preserve"> Use water spray to cool unopened containers.</w:t>
      </w:r>
    </w:p>
    <w:p w:rsidR="00231706" w:rsidRDefault="00231706" w:rsidP="00231706">
      <w:pPr>
        <w:widowControl/>
        <w:ind w:left="720"/>
        <w:rPr>
          <w:rFonts w:cs="Arial"/>
        </w:rPr>
      </w:pPr>
    </w:p>
    <w:p w:rsidR="00231706" w:rsidRDefault="0057274F" w:rsidP="00231706">
      <w:pPr>
        <w:widowControl/>
        <w:ind w:left="720"/>
        <w:rPr>
          <w:rFonts w:cs="Arial"/>
        </w:rPr>
      </w:pPr>
      <w:r>
        <w:rPr>
          <w:rFonts w:cs="Arial"/>
          <w:noProof/>
        </w:rPr>
        <w:pict>
          <v:shape id="_x0000_s1100" type="#_x0000_t202" style="position:absolute;left:0;text-align:left;margin-left:.75pt;margin-top:-4.55pt;width:559.7pt;height:24.9pt;z-index:25166233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0">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p>
    <w:p w:rsidR="00F144BE" w:rsidRPr="00F144BE" w:rsidRDefault="0057274F" w:rsidP="00231706">
      <w:pPr>
        <w:widowControl/>
        <w:spacing w:after="160"/>
        <w:ind w:left="1440"/>
        <w:rPr>
          <w:rFonts w:cs="Arial"/>
        </w:rPr>
        <w:sectPr w:rsidR="00F144BE" w:rsidRPr="00F144BE" w:rsidSect="00F144BE">
          <w:type w:val="continuous"/>
          <w:pgSz w:w="12240" w:h="15840"/>
          <w:pgMar w:top="900" w:right="420" w:bottom="1260" w:left="600" w:header="720" w:footer="720" w:gutter="0"/>
          <w:cols w:space="720"/>
        </w:sectPr>
      </w:pPr>
      <w:r>
        <w:rPr>
          <w:noProof/>
          <w:sz w:val="18"/>
        </w:rPr>
        <w:lastRenderedPageBreak/>
        <w:pict>
          <v:shape id="_x0000_s1101" type="#_x0000_t202" style="position:absolute;left:0;text-align:left;margin-left:.75pt;margin-top:52.1pt;width:559.7pt;height:24.9pt;z-index:25166336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r w:rsidR="00F144BE" w:rsidRPr="00F144BE">
        <w:rPr>
          <w:rFonts w:cs="Arial"/>
          <w:b/>
          <w:bCs/>
        </w:rPr>
        <w:t>METHODS FOR CLEANING UP:</w:t>
      </w:r>
      <w:r w:rsidR="00F144BE" w:rsidRPr="00F144BE">
        <w:rPr>
          <w:rFonts w:cs="Arial"/>
        </w:rPr>
        <w:tab/>
        <w:t xml:space="preserve">Soak up in absorbent material and collect in suitable containers. Residual may be removed using steam or hot </w:t>
      </w:r>
      <w:r w:rsidR="00F144BE">
        <w:rPr>
          <w:rFonts w:cs="Arial"/>
        </w:rPr>
        <w:t>soapy water.</w:t>
      </w:r>
    </w:p>
    <w:p w:rsidR="00F81AE1" w:rsidRPr="00F81AE1" w:rsidRDefault="00F81AE1"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p>
    <w:p w:rsidR="005E112C" w:rsidRDefault="005E112C" w:rsidP="00F144BE">
      <w:pPr>
        <w:tabs>
          <w:tab w:val="left" w:pos="1938"/>
        </w:tabs>
        <w:spacing w:line="222" w:lineRule="exact"/>
        <w:rPr>
          <w:sz w:val="18"/>
        </w:rPr>
      </w:pPr>
    </w:p>
    <w:p w:rsidR="008D362F" w:rsidRPr="008D362F" w:rsidRDefault="008D362F" w:rsidP="008D362F">
      <w:pPr>
        <w:spacing w:before="45" w:line="196" w:lineRule="exact"/>
        <w:ind w:left="720" w:right="710"/>
        <w:rPr>
          <w:b/>
          <w:bCs/>
        </w:rPr>
      </w:pPr>
      <w:r w:rsidRPr="008D362F">
        <w:rPr>
          <w:b/>
          <w:bCs/>
        </w:rPr>
        <w:t>PRECAUTIONS FOR SAFE HANDLING:</w:t>
      </w:r>
    </w:p>
    <w:p w:rsidR="008D362F" w:rsidRPr="008D362F" w:rsidRDefault="008D362F" w:rsidP="008D362F">
      <w:pPr>
        <w:spacing w:before="45" w:line="196" w:lineRule="exact"/>
        <w:ind w:left="1440" w:right="710"/>
        <w:rPr>
          <w:color w:val="231F20"/>
        </w:rPr>
      </w:pPr>
      <w:r w:rsidRPr="008D362F">
        <w:rPr>
          <w:color w:val="231F20"/>
        </w:rPr>
        <w:t xml:space="preserve">Avoid contact with skin and eyes. Avoid inhalation of vapor or mist. Keep away from sources of ignition - No smoking. </w:t>
      </w:r>
    </w:p>
    <w:p w:rsidR="008D362F" w:rsidRPr="008D362F" w:rsidRDefault="008D362F" w:rsidP="008D362F">
      <w:pPr>
        <w:spacing w:before="45" w:line="196" w:lineRule="exact"/>
        <w:ind w:left="720" w:right="710"/>
        <w:rPr>
          <w:b/>
          <w:bCs/>
          <w:color w:val="231F20"/>
        </w:rPr>
      </w:pPr>
      <w:r w:rsidRPr="008D362F">
        <w:rPr>
          <w:b/>
          <w:bCs/>
          <w:color w:val="231F20"/>
        </w:rPr>
        <w:t>CONDITIONS FOR SAFE STORAGE:</w:t>
      </w:r>
    </w:p>
    <w:p w:rsidR="005E112C" w:rsidRDefault="0057274F" w:rsidP="008D362F">
      <w:pPr>
        <w:spacing w:before="45" w:line="196" w:lineRule="exact"/>
        <w:ind w:left="1440" w:right="710"/>
        <w:rPr>
          <w:color w:val="231F20"/>
        </w:rPr>
      </w:pPr>
      <w:r>
        <w:rPr>
          <w:noProof/>
          <w:sz w:val="11"/>
        </w:rPr>
        <w:pict>
          <v:shape id="_x0000_s1102" type="#_x0000_t202" style="position:absolute;left:0;text-align:left;margin-left:.75pt;margin-top:29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r w:rsidR="008D362F" w:rsidRPr="008D362F">
        <w:rPr>
          <w:color w:val="231F20"/>
        </w:rPr>
        <w:t xml:space="preserve"> Keep only in the original container in a cool, dry, well-ventilated place away from ignition sources, heat or flame. Protect from direct sunlight</w:t>
      </w:r>
      <w:r w:rsidR="008D362F">
        <w:rPr>
          <w:color w:val="231F20"/>
        </w:rPr>
        <w:t>.</w:t>
      </w:r>
    </w:p>
    <w:p w:rsidR="008D362F" w:rsidRDefault="008D362F" w:rsidP="008D362F">
      <w:pPr>
        <w:spacing w:before="45" w:line="196" w:lineRule="exact"/>
        <w:ind w:left="720" w:right="710"/>
        <w:rPr>
          <w:color w:val="231F20"/>
        </w:rPr>
      </w:pPr>
    </w:p>
    <w:p w:rsidR="008D362F" w:rsidRPr="008D362F" w:rsidRDefault="008D362F" w:rsidP="008D362F">
      <w:pPr>
        <w:widowControl/>
        <w:spacing w:line="259" w:lineRule="auto"/>
        <w:ind w:left="720"/>
        <w:rPr>
          <w:rFonts w:cs="Arial"/>
        </w:rPr>
      </w:pPr>
      <w:r w:rsidRPr="008D362F">
        <w:rPr>
          <w:rFonts w:cs="Arial"/>
          <w:b/>
        </w:rPr>
        <w:t>VENTILATION:</w:t>
      </w:r>
      <w:r w:rsidRPr="008D362F">
        <w:rPr>
          <w:rFonts w:cs="Arial"/>
          <w:b/>
          <w:sz w:val="20"/>
        </w:rPr>
        <w:t xml:space="preserve"> </w:t>
      </w:r>
      <w:r w:rsidRPr="008D362F">
        <w:rPr>
          <w:rFonts w:cs="Arial"/>
        </w:rPr>
        <w:t>Good room ventilation usually adequate for most operations</w:t>
      </w:r>
    </w:p>
    <w:p w:rsidR="008D362F" w:rsidRPr="008D362F" w:rsidRDefault="008D362F" w:rsidP="008D362F">
      <w:pPr>
        <w:widowControl/>
        <w:spacing w:line="259" w:lineRule="auto"/>
        <w:ind w:left="720"/>
        <w:rPr>
          <w:rFonts w:cs="Arial"/>
          <w:b/>
          <w:bCs/>
        </w:rPr>
      </w:pPr>
      <w:r w:rsidRPr="008D362F">
        <w:rPr>
          <w:rFonts w:cs="Arial"/>
          <w:b/>
        </w:rPr>
        <w:t>RESPIRATORY</w:t>
      </w:r>
      <w:r w:rsidRPr="008D362F">
        <w:rPr>
          <w:rFonts w:cs="Arial"/>
          <w:b/>
          <w:bCs/>
        </w:rPr>
        <w:t xml:space="preserve"> PROTECTION: </w:t>
      </w:r>
      <w:r w:rsidRPr="008D362F">
        <w:rPr>
          <w:rFonts w:cs="Arial"/>
        </w:rPr>
        <w:t>None normally needed.</w:t>
      </w:r>
    </w:p>
    <w:p w:rsidR="008D362F" w:rsidRPr="008D362F" w:rsidRDefault="008D362F" w:rsidP="008D362F">
      <w:pPr>
        <w:widowControl/>
        <w:spacing w:line="259" w:lineRule="auto"/>
        <w:ind w:left="720"/>
        <w:rPr>
          <w:rFonts w:cs="Arial"/>
        </w:rPr>
      </w:pPr>
      <w:r w:rsidRPr="008D362F">
        <w:rPr>
          <w:rFonts w:cs="Arial"/>
          <w:b/>
        </w:rPr>
        <w:t xml:space="preserve">EYE PROTECTION: </w:t>
      </w:r>
      <w:r w:rsidRPr="008D362F">
        <w:rPr>
          <w:rFonts w:cs="Arial"/>
        </w:rPr>
        <w:t>Use chemical goggles.</w:t>
      </w:r>
    </w:p>
    <w:p w:rsidR="008D362F" w:rsidRPr="008D362F" w:rsidRDefault="008D362F" w:rsidP="008D362F">
      <w:pPr>
        <w:widowControl/>
        <w:spacing w:line="259" w:lineRule="auto"/>
        <w:ind w:left="720"/>
        <w:rPr>
          <w:rFonts w:cs="Arial"/>
        </w:rPr>
      </w:pPr>
      <w:r w:rsidRPr="008D362F">
        <w:rPr>
          <w:rFonts w:cs="Arial"/>
          <w:b/>
        </w:rPr>
        <w:t xml:space="preserve">SKIN PROTECTION: </w:t>
      </w:r>
      <w:r w:rsidRPr="008D362F">
        <w:rPr>
          <w:rFonts w:cs="Arial"/>
        </w:rPr>
        <w:t>For brief contact, no precautions other than clean body-covering clothing should be needed.</w:t>
      </w:r>
    </w:p>
    <w:p w:rsidR="008D362F" w:rsidRPr="008D362F" w:rsidRDefault="0057274F" w:rsidP="008D362F">
      <w:pPr>
        <w:widowControl/>
        <w:spacing w:line="259" w:lineRule="auto"/>
        <w:ind w:left="720"/>
        <w:rPr>
          <w:rFonts w:cs="Arial"/>
        </w:rPr>
      </w:pPr>
      <w:r>
        <w:rPr>
          <w:noProof/>
        </w:rPr>
        <w:pict>
          <v:shape id="_x0000_s1103" type="#_x0000_t202" style="position:absolute;left:0;text-align:left;margin-left:.75pt;margin-top:24.55pt;width:559.7pt;height:24.9pt;z-index:2516689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3">
              <w:txbxContent>
                <w:p w:rsidR="00B757F5" w:rsidRPr="0028425E" w:rsidRDefault="00B757F5" w:rsidP="00B757F5">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8D362F" w:rsidRPr="008D362F">
        <w:rPr>
          <w:rFonts w:cs="Arial"/>
        </w:rPr>
        <w:t>Use impervious gloves when prolonged or frequently repeated contact could occur.</w:t>
      </w:r>
    </w:p>
    <w:p w:rsidR="00B757F5" w:rsidRPr="00B757F5" w:rsidRDefault="00B757F5" w:rsidP="00B757F5">
      <w:pPr>
        <w:widowControl/>
        <w:spacing w:line="259" w:lineRule="auto"/>
        <w:ind w:left="720"/>
      </w:pPr>
      <w:r w:rsidRPr="00B757F5">
        <w:rPr>
          <w:b/>
          <w:bCs/>
        </w:rPr>
        <w:t>APPEARANCE:</w:t>
      </w:r>
      <w:r w:rsidRPr="00B757F5">
        <w:t xml:space="preserve"> Straw colored liquid. </w:t>
      </w:r>
    </w:p>
    <w:p w:rsidR="00B757F5" w:rsidRPr="00B757F5" w:rsidRDefault="00B757F5" w:rsidP="00B757F5">
      <w:pPr>
        <w:widowControl/>
        <w:spacing w:line="259" w:lineRule="auto"/>
        <w:ind w:left="720"/>
      </w:pPr>
      <w:r w:rsidRPr="00B757F5">
        <w:rPr>
          <w:b/>
          <w:bCs/>
        </w:rPr>
        <w:t>ODOR:</w:t>
      </w:r>
      <w:r w:rsidRPr="00B757F5">
        <w:t xml:space="preserve"> Weak</w:t>
      </w:r>
    </w:p>
    <w:p w:rsidR="00B757F5" w:rsidRPr="00B757F5" w:rsidRDefault="00B757F5" w:rsidP="00B757F5">
      <w:pPr>
        <w:widowControl/>
        <w:spacing w:line="259" w:lineRule="auto"/>
        <w:ind w:left="720"/>
      </w:pPr>
      <w:r>
        <w:rPr>
          <w:b/>
          <w:bCs/>
        </w:rPr>
        <w:t xml:space="preserve">PHYSICAL STATE: </w:t>
      </w:r>
      <w:r w:rsidRPr="00B757F5">
        <w:t>Liquid</w:t>
      </w:r>
    </w:p>
    <w:p w:rsidR="00B757F5" w:rsidRPr="00B757F5" w:rsidRDefault="00B757F5" w:rsidP="00B757F5">
      <w:pPr>
        <w:widowControl/>
        <w:spacing w:line="259" w:lineRule="auto"/>
        <w:ind w:left="720"/>
      </w:pPr>
      <w:r w:rsidRPr="00B757F5">
        <w:rPr>
          <w:b/>
          <w:bCs/>
        </w:rPr>
        <w:t>BOILING POINT:</w:t>
      </w:r>
      <w:r>
        <w:t xml:space="preserve"> </w:t>
      </w:r>
      <w:r w:rsidRPr="00B757F5">
        <w:t>&gt;252 °C</w:t>
      </w:r>
    </w:p>
    <w:p w:rsidR="00B757F5" w:rsidRPr="00B757F5" w:rsidRDefault="00B757F5" w:rsidP="00B757F5">
      <w:pPr>
        <w:widowControl/>
        <w:spacing w:line="259" w:lineRule="auto"/>
        <w:ind w:left="720"/>
      </w:pPr>
      <w:r w:rsidRPr="00B757F5">
        <w:rPr>
          <w:b/>
          <w:bCs/>
        </w:rPr>
        <w:t>VAPOR PRESSURE (mmHg):</w:t>
      </w:r>
      <w:r w:rsidRPr="00B757F5">
        <w:t xml:space="preserve"> F: NA (C: N/A)</w:t>
      </w:r>
    </w:p>
    <w:p w:rsidR="00B757F5" w:rsidRPr="00B757F5" w:rsidRDefault="00B757F5" w:rsidP="00B757F5">
      <w:pPr>
        <w:widowControl/>
        <w:spacing w:line="259" w:lineRule="auto"/>
        <w:ind w:left="720"/>
      </w:pPr>
      <w:r w:rsidRPr="00B757F5">
        <w:rPr>
          <w:b/>
          <w:bCs/>
        </w:rPr>
        <w:t>VAPOR DENSITY (AIR = 1):</w:t>
      </w:r>
      <w:r w:rsidRPr="00B757F5">
        <w:t xml:space="preserve"> N/A</w:t>
      </w:r>
    </w:p>
    <w:p w:rsidR="00B757F5" w:rsidRPr="00B757F5" w:rsidRDefault="00B757F5" w:rsidP="00B757F5">
      <w:pPr>
        <w:widowControl/>
        <w:spacing w:line="259" w:lineRule="auto"/>
        <w:ind w:left="720"/>
      </w:pPr>
      <w:r w:rsidRPr="00B757F5">
        <w:rPr>
          <w:b/>
          <w:bCs/>
        </w:rPr>
        <w:t>SPECIFIC GRAVITY (H2O = 1):</w:t>
      </w:r>
      <w:r w:rsidRPr="00B757F5">
        <w:t xml:space="preserve"> 1.12-1.14</w:t>
      </w:r>
    </w:p>
    <w:p w:rsidR="00B757F5" w:rsidRPr="00B757F5" w:rsidRDefault="00B757F5" w:rsidP="00B757F5">
      <w:pPr>
        <w:widowControl/>
        <w:spacing w:line="259" w:lineRule="auto"/>
        <w:ind w:left="720"/>
        <w:sectPr w:rsidR="00B757F5" w:rsidRPr="00B757F5" w:rsidSect="00B757F5">
          <w:type w:val="continuous"/>
          <w:pgSz w:w="12240" w:h="15840"/>
          <w:pgMar w:top="900" w:right="420" w:bottom="1260" w:left="600" w:header="720" w:footer="720" w:gutter="0"/>
          <w:cols w:space="720"/>
        </w:sectPr>
      </w:pPr>
      <w:r w:rsidRPr="00B757F5">
        <w:rPr>
          <w:b/>
          <w:bCs/>
        </w:rPr>
        <w:t>Flammability:</w:t>
      </w:r>
      <w:r w:rsidRPr="00B757F5">
        <w:t xml:space="preserve"> not flammable</w:t>
      </w:r>
    </w:p>
    <w:p w:rsidR="005E112C" w:rsidRDefault="0057274F" w:rsidP="00B757F5">
      <w:pPr>
        <w:spacing w:before="45" w:line="196" w:lineRule="exact"/>
        <w:ind w:left="720" w:right="710"/>
      </w:pPr>
      <w:r>
        <w:rPr>
          <w:noProof/>
        </w:rPr>
        <w:pict>
          <v:shape id="_x0000_s1104" type="#_x0000_t202" style="position:absolute;left:0;text-align:left;margin-left:.75pt;margin-top:17.7pt;width:559.7pt;height:24.9pt;z-index:25167001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pPr>
        <w:sectPr w:rsidR="005E112C">
          <w:type w:val="continuous"/>
          <w:pgSz w:w="12240" w:h="15840"/>
          <w:pgMar w:top="900" w:right="360" w:bottom="1260" w:left="600" w:header="720" w:footer="720" w:gutter="0"/>
          <w:cols w:num="3" w:space="720" w:equalWidth="0">
            <w:col w:w="2545" w:space="1755"/>
            <w:col w:w="2596" w:space="63"/>
            <w:col w:w="4321"/>
          </w:cols>
        </w:sectPr>
      </w:pPr>
    </w:p>
    <w:p w:rsidR="005E112C" w:rsidRPr="00B757F5" w:rsidRDefault="00F71894" w:rsidP="00B757F5">
      <w:pPr>
        <w:ind w:left="720"/>
      </w:pPr>
      <w:r w:rsidRPr="00B757F5">
        <w:rPr>
          <w:b/>
          <w:color w:val="231F20"/>
          <w:w w:val="105"/>
        </w:rPr>
        <w:t xml:space="preserve">CONDITIONS TO AVOID (STABILITY): </w:t>
      </w:r>
      <w:r w:rsidRPr="00B757F5">
        <w:rPr>
          <w:color w:val="231F20"/>
          <w:w w:val="105"/>
        </w:rPr>
        <w:t xml:space="preserve">See SDS section 7 - Handling </w:t>
      </w:r>
      <w:r w:rsidR="00B757F5" w:rsidRPr="00B757F5">
        <w:rPr>
          <w:color w:val="231F20"/>
          <w:w w:val="105"/>
        </w:rPr>
        <w:t>and storage</w:t>
      </w:r>
      <w:r w:rsidRPr="00B757F5">
        <w:rPr>
          <w:color w:val="231F20"/>
          <w:w w:val="105"/>
        </w:rPr>
        <w:t>.</w:t>
      </w:r>
    </w:p>
    <w:p w:rsidR="005E112C" w:rsidRPr="00B757F5" w:rsidRDefault="00F71894" w:rsidP="00B757F5">
      <w:pPr>
        <w:spacing w:before="43"/>
        <w:ind w:left="720"/>
      </w:pPr>
      <w:r w:rsidRPr="00B757F5">
        <w:rPr>
          <w:b/>
          <w:color w:val="231F20"/>
          <w:w w:val="105"/>
        </w:rPr>
        <w:t xml:space="preserve">INCOMPATIBILITY (MATERIAL TO AVOID): </w:t>
      </w:r>
      <w:r w:rsidRPr="00B757F5">
        <w:rPr>
          <w:color w:val="231F20"/>
          <w:w w:val="105"/>
        </w:rPr>
        <w:t>strong acids, strong bases, strong oxidizing agents, strong reducing agents</w:t>
      </w:r>
    </w:p>
    <w:p w:rsidR="005E112C" w:rsidRPr="00B757F5" w:rsidRDefault="00F71894" w:rsidP="00B757F5">
      <w:pPr>
        <w:spacing w:before="43" w:line="285" w:lineRule="auto"/>
        <w:ind w:left="720" w:right="615"/>
      </w:pPr>
      <w:r w:rsidRPr="00B757F5">
        <w:rPr>
          <w:b/>
          <w:color w:val="231F20"/>
          <w:w w:val="105"/>
        </w:rPr>
        <w:t xml:space="preserve">HAZARDOUS DECOMPOSITION OR BY-PRODUCTS: </w:t>
      </w:r>
      <w:r w:rsidRPr="00B757F5">
        <w:rPr>
          <w:color w:val="231F20"/>
          <w:w w:val="105"/>
        </w:rPr>
        <w:t xml:space="preserve">Decomposition </w:t>
      </w:r>
      <w:r w:rsidR="00B757F5" w:rsidRPr="00B757F5">
        <w:rPr>
          <w:color w:val="231F20"/>
          <w:w w:val="105"/>
        </w:rPr>
        <w:t>products: carbon</w:t>
      </w:r>
      <w:r w:rsidRPr="00B757F5">
        <w:rPr>
          <w:color w:val="231F20"/>
          <w:w w:val="105"/>
        </w:rPr>
        <w:t xml:space="preserve"> oxides, nitrogen oxides Thermal decomposition: No decomposition if stored and handled as prescribed/indicated.</w:t>
      </w:r>
    </w:p>
    <w:p w:rsidR="005E112C" w:rsidRDefault="00F71894" w:rsidP="00B757F5">
      <w:pPr>
        <w:spacing w:before="1"/>
        <w:ind w:left="720"/>
        <w:rPr>
          <w:color w:val="231F20"/>
          <w:w w:val="105"/>
        </w:rPr>
      </w:pPr>
      <w:r w:rsidRPr="00B757F5">
        <w:rPr>
          <w:b/>
          <w:color w:val="231F20"/>
          <w:w w:val="105"/>
        </w:rPr>
        <w:t xml:space="preserve">CHEMICAL STABILITY: </w:t>
      </w:r>
      <w:r w:rsidRPr="00B757F5">
        <w:rPr>
          <w:color w:val="231F20"/>
          <w:w w:val="105"/>
        </w:rPr>
        <w:t>The product is stable if stored and handled as prescribed/indicated.</w:t>
      </w:r>
    </w:p>
    <w:p w:rsidR="005A24C0" w:rsidRDefault="0057274F" w:rsidP="00B757F5">
      <w:pPr>
        <w:spacing w:before="1"/>
        <w:ind w:left="720"/>
        <w:rPr>
          <w:color w:val="231F20"/>
          <w:w w:val="105"/>
        </w:rPr>
      </w:pPr>
      <w:r>
        <w:rPr>
          <w:b/>
          <w:noProof/>
          <w:color w:val="231F20"/>
        </w:rPr>
        <w:pict>
          <v:shape id="_x0000_s1105" type="#_x0000_t202" style="position:absolute;left:0;text-align:left;margin-left:.75pt;margin-top:19.6pt;width:559.7pt;height:24.9pt;z-index:25167104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lastRenderedPageBreak/>
        <w:t>11.0 TOXICOLOGICAL INFORMATION</w:t>
      </w:r>
    </w:p>
    <w:p w:rsidR="005A24C0" w:rsidRPr="00522F99" w:rsidRDefault="005A24C0" w:rsidP="005A24C0">
      <w:pPr>
        <w:ind w:left="720"/>
        <w:rPr>
          <w:b/>
          <w:bCs/>
          <w:u w:val="single"/>
        </w:rPr>
      </w:pPr>
      <w:r w:rsidRPr="00522F99">
        <w:rPr>
          <w:b/>
          <w:bCs/>
          <w:u w:val="single"/>
        </w:rPr>
        <w:t>Acute toxicity</w:t>
      </w:r>
    </w:p>
    <w:p w:rsidR="005A24C0" w:rsidRPr="00522F99" w:rsidRDefault="005A24C0" w:rsidP="005A24C0">
      <w:pPr>
        <w:ind w:left="720"/>
      </w:pPr>
      <w:r w:rsidRPr="00522F99">
        <w:t>Assessment of acute toxicity: Virtually nontoxic after a single ingestion. Based on available Data, the classification</w:t>
      </w:r>
      <w:r w:rsidR="00A04E11">
        <w:t xml:space="preserve"> </w:t>
      </w:r>
      <w:r w:rsidRPr="00522F99">
        <w:t xml:space="preserve">criteria are not met. </w:t>
      </w:r>
    </w:p>
    <w:p w:rsidR="005A24C0" w:rsidRPr="00522F99" w:rsidRDefault="005A24C0" w:rsidP="005A24C0">
      <w:pPr>
        <w:ind w:left="720"/>
      </w:pPr>
      <w:r w:rsidRPr="00522F99">
        <w:rPr>
          <w:b/>
          <w:bCs/>
          <w:u w:val="single"/>
        </w:rPr>
        <w:t>Inhalation</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Dermal</w:t>
      </w:r>
    </w:p>
    <w:p w:rsidR="005A24C0" w:rsidRPr="00522F99" w:rsidRDefault="005A24C0" w:rsidP="005A24C0">
      <w:pPr>
        <w:ind w:left="720"/>
      </w:pPr>
      <w:r w:rsidRPr="00522F99">
        <w:t xml:space="preserve">No applicable information available. </w:t>
      </w:r>
    </w:p>
    <w:p w:rsidR="005A24C0" w:rsidRPr="00522F99" w:rsidRDefault="005A24C0" w:rsidP="005A24C0">
      <w:pPr>
        <w:ind w:left="720"/>
        <w:rPr>
          <w:b/>
          <w:bCs/>
          <w:u w:val="single"/>
        </w:rPr>
      </w:pPr>
      <w:r w:rsidRPr="00522F99">
        <w:rPr>
          <w:b/>
          <w:bCs/>
          <w:u w:val="single"/>
        </w:rPr>
        <w:t>Assessment other acute effects</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Irritation / corrosion</w:t>
      </w:r>
    </w:p>
    <w:p w:rsidR="00A01BD1" w:rsidRDefault="005A24C0" w:rsidP="005A24C0">
      <w:pPr>
        <w:ind w:left="720"/>
      </w:pPr>
      <w:r w:rsidRPr="00522F99">
        <w:t xml:space="preserve">Assessment of irritating effects: Eye contact causes irritation. Skin contact causes irritation. No applicable information available. </w:t>
      </w:r>
    </w:p>
    <w:p w:rsidR="005A24C0" w:rsidRPr="00522F99" w:rsidRDefault="005A24C0" w:rsidP="005A24C0">
      <w:pPr>
        <w:ind w:left="720"/>
      </w:pPr>
      <w:r w:rsidRPr="00522F99">
        <w:rPr>
          <w:b/>
          <w:bCs/>
          <w:u w:val="single"/>
        </w:rPr>
        <w:t>Sensitization</w:t>
      </w:r>
    </w:p>
    <w:p w:rsidR="005A24C0" w:rsidRPr="00522F99" w:rsidRDefault="005A24C0" w:rsidP="005A24C0">
      <w:pPr>
        <w:ind w:left="720"/>
      </w:pPr>
      <w:r w:rsidRPr="00522F99">
        <w:t>Assessment of sensitization: Sensitization after skin contact possible.</w:t>
      </w:r>
    </w:p>
    <w:p w:rsidR="005A24C0" w:rsidRPr="00522F99" w:rsidRDefault="005A24C0" w:rsidP="005A24C0">
      <w:pPr>
        <w:rPr>
          <w:b/>
          <w:bCs/>
        </w:rPr>
      </w:pPr>
      <w:r w:rsidRPr="00522F99">
        <w:rPr>
          <w:b/>
          <w:bCs/>
        </w:rPr>
        <w:t>Chronic Toxicity/Effects</w:t>
      </w:r>
    </w:p>
    <w:p w:rsidR="005A24C0" w:rsidRPr="00522F99" w:rsidRDefault="005A24C0" w:rsidP="005A24C0">
      <w:pPr>
        <w:ind w:left="720"/>
        <w:rPr>
          <w:b/>
          <w:bCs/>
          <w:u w:val="single"/>
        </w:rPr>
      </w:pPr>
      <w:r w:rsidRPr="00522F99">
        <w:rPr>
          <w:b/>
          <w:bCs/>
          <w:u w:val="single"/>
        </w:rPr>
        <w:t>Repeated dose toxicity</w:t>
      </w:r>
    </w:p>
    <w:p w:rsidR="005A24C0" w:rsidRPr="00522F99" w:rsidRDefault="005A24C0" w:rsidP="00A01BD1">
      <w:pPr>
        <w:ind w:left="720"/>
      </w:pPr>
      <w:r w:rsidRPr="00522F99">
        <w:t>Assessment of repeated dose toxicity: No reliable data was available concerning repeated dose toxicity. Based on available Data, the</w:t>
      </w:r>
      <w:r w:rsidR="00A01BD1">
        <w:t xml:space="preserve"> </w:t>
      </w:r>
      <w:r w:rsidRPr="00522F99">
        <w:t>classification criteria are not met.</w:t>
      </w:r>
    </w:p>
    <w:p w:rsidR="005A24C0" w:rsidRPr="00522F99" w:rsidRDefault="005A24C0" w:rsidP="005A24C0">
      <w:pPr>
        <w:ind w:left="720"/>
        <w:rPr>
          <w:b/>
          <w:bCs/>
          <w:u w:val="single"/>
        </w:rPr>
      </w:pPr>
      <w:r w:rsidRPr="00522F99">
        <w:rPr>
          <w:b/>
          <w:bCs/>
          <w:u w:val="single"/>
        </w:rPr>
        <w:t>Genetic toxicity</w:t>
      </w:r>
    </w:p>
    <w:p w:rsidR="005A24C0" w:rsidRPr="00522F99" w:rsidRDefault="005A24C0" w:rsidP="005A24C0">
      <w:pPr>
        <w:ind w:left="720"/>
        <w:rPr>
          <w:b/>
          <w:bCs/>
          <w:u w:val="single"/>
        </w:rPr>
      </w:pPr>
      <w:r w:rsidRPr="00522F99">
        <w:t>Assessment of mutagenicity: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Carcinogenicity</w:t>
      </w:r>
    </w:p>
    <w:p w:rsidR="005A24C0" w:rsidRPr="00522F99" w:rsidRDefault="005A24C0" w:rsidP="005A24C0">
      <w:pPr>
        <w:ind w:left="720"/>
      </w:pPr>
      <w:r w:rsidRPr="00522F99">
        <w:t>Assessment of carcinogenicity: Based on the ingredients there is no suspicion of a carcinogenic effect in humans. Based on available Data, the classification criteria are not met.</w:t>
      </w:r>
    </w:p>
    <w:p w:rsidR="005A24C0" w:rsidRPr="00522F99" w:rsidRDefault="005A24C0" w:rsidP="005A24C0">
      <w:pPr>
        <w:ind w:left="720"/>
        <w:rPr>
          <w:b/>
          <w:bCs/>
          <w:u w:val="single"/>
        </w:rPr>
      </w:pPr>
      <w:r w:rsidRPr="00522F99">
        <w:rPr>
          <w:b/>
          <w:bCs/>
          <w:u w:val="single"/>
        </w:rPr>
        <w:t>Reproductive toxicity</w:t>
      </w:r>
    </w:p>
    <w:p w:rsidR="005A24C0" w:rsidRPr="00522F99" w:rsidRDefault="005A24C0" w:rsidP="005A24C0">
      <w:pPr>
        <w:ind w:left="720"/>
      </w:pPr>
      <w:r w:rsidRPr="00522F99">
        <w:t>Assessment of reproduction toxicity: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Teratogenicity</w:t>
      </w:r>
    </w:p>
    <w:p w:rsidR="005A24C0" w:rsidRPr="00522F99" w:rsidRDefault="005A24C0" w:rsidP="005A24C0">
      <w:pPr>
        <w:ind w:left="720"/>
      </w:pPr>
      <w:r w:rsidRPr="00522F99">
        <w:t>Assessment of teratogenicity: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Other Information</w:t>
      </w:r>
    </w:p>
    <w:p w:rsidR="005A24C0" w:rsidRPr="00522F99" w:rsidRDefault="005A24C0" w:rsidP="005A24C0">
      <w:pPr>
        <w:ind w:left="720"/>
      </w:pPr>
      <w:r w:rsidRPr="00522F99">
        <w:t>The product has not been tested. The statement has been derived from the properties of the individual components.</w:t>
      </w:r>
    </w:p>
    <w:p w:rsidR="005A24C0" w:rsidRPr="00522F99" w:rsidRDefault="005A24C0" w:rsidP="005A24C0">
      <w:pPr>
        <w:rPr>
          <w:b/>
          <w:bCs/>
        </w:rPr>
      </w:pPr>
      <w:r w:rsidRPr="00522F99">
        <w:rPr>
          <w:b/>
          <w:bCs/>
        </w:rPr>
        <w:t>Symptoms of Exposure</w:t>
      </w:r>
    </w:p>
    <w:p w:rsidR="005A24C0" w:rsidRPr="00522F99" w:rsidRDefault="0057274F" w:rsidP="00522F99">
      <w:pPr>
        <w:ind w:left="720"/>
      </w:pPr>
      <w:r>
        <w:rPr>
          <w:noProof/>
        </w:rPr>
        <w:pict>
          <v:shape id="_x0000_s1106" type="#_x0000_t202" style="position:absolute;left:0;text-align:left;margin-left:.75pt;margin-top:34.8pt;width:559.7pt;height:24.9pt;z-index:25167206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5A24C0" w:rsidRPr="00522F99">
        <w:t>The most important known symptoms and effects are described in the labelling (see section 2) and/or in section 11.</w:t>
      </w:r>
    </w:p>
    <w:p w:rsidR="00522F99" w:rsidRDefault="00522F99" w:rsidP="00522F99">
      <w:pPr>
        <w:ind w:left="720"/>
        <w:rPr>
          <w:sz w:val="20"/>
        </w:rPr>
      </w:pPr>
    </w:p>
    <w:p w:rsidR="00522F99" w:rsidRPr="00522F99" w:rsidRDefault="00522F99" w:rsidP="00522F99">
      <w:pPr>
        <w:ind w:left="720"/>
      </w:pPr>
      <w:r w:rsidRPr="00522F99">
        <w:rPr>
          <w:b/>
          <w:bCs/>
        </w:rPr>
        <w:t>12.1</w:t>
      </w:r>
      <w:r w:rsidRPr="00522F99">
        <w:rPr>
          <w:b/>
          <w:bCs/>
        </w:rPr>
        <w:tab/>
        <w:t>Ecotoxicity</w:t>
      </w:r>
      <w:r w:rsidRPr="00522F99">
        <w:t>: No information available.</w:t>
      </w:r>
    </w:p>
    <w:p w:rsidR="00522F99" w:rsidRPr="00522F99" w:rsidRDefault="00522F99" w:rsidP="00522F99">
      <w:pPr>
        <w:ind w:left="720"/>
      </w:pPr>
      <w:r w:rsidRPr="00522F99">
        <w:rPr>
          <w:b/>
          <w:bCs/>
        </w:rPr>
        <w:t>12.2</w:t>
      </w:r>
      <w:r w:rsidRPr="00522F99">
        <w:rPr>
          <w:b/>
          <w:bCs/>
        </w:rPr>
        <w:tab/>
        <w:t>Persistence and degradability</w:t>
      </w:r>
      <w:r w:rsidRPr="00522F99">
        <w:t>: Not readily biodegradable (by OECD criteria).</w:t>
      </w:r>
    </w:p>
    <w:p w:rsidR="00522F99" w:rsidRPr="00522F99" w:rsidRDefault="00522F99" w:rsidP="00522F99">
      <w:pPr>
        <w:ind w:left="720"/>
      </w:pPr>
      <w:r w:rsidRPr="00522F99">
        <w:rPr>
          <w:b/>
          <w:bCs/>
        </w:rPr>
        <w:t>12.3</w:t>
      </w:r>
      <w:r w:rsidRPr="00522F99">
        <w:rPr>
          <w:b/>
          <w:bCs/>
        </w:rPr>
        <w:tab/>
        <w:t>Bioaccumulative potential</w:t>
      </w:r>
      <w:r w:rsidRPr="00522F99">
        <w:t>: Because of the product's consistency and low water solubility, bioavailability is improbable.</w:t>
      </w:r>
    </w:p>
    <w:p w:rsidR="00522F99" w:rsidRPr="00522F99" w:rsidRDefault="00522F99" w:rsidP="00522F99">
      <w:pPr>
        <w:ind w:left="720"/>
      </w:pPr>
      <w:r w:rsidRPr="00522F99">
        <w:rPr>
          <w:b/>
          <w:bCs/>
        </w:rPr>
        <w:t>12.4</w:t>
      </w:r>
      <w:r w:rsidRPr="00522F99">
        <w:rPr>
          <w:b/>
          <w:bCs/>
        </w:rPr>
        <w:tab/>
        <w:t>Mobility in soil</w:t>
      </w:r>
      <w:r w:rsidRPr="00522F99">
        <w:t>: The substance will not evaporate into the atmosphere from the water surface.</w:t>
      </w:r>
    </w:p>
    <w:p w:rsidR="00522F99" w:rsidRDefault="00522F99" w:rsidP="00522F99">
      <w:pPr>
        <w:ind w:left="720"/>
      </w:pPr>
      <w:r w:rsidRPr="00522F99">
        <w:rPr>
          <w:b/>
          <w:bCs/>
        </w:rPr>
        <w:lastRenderedPageBreak/>
        <w:t>12.5</w:t>
      </w:r>
      <w:r w:rsidRPr="00522F99">
        <w:rPr>
          <w:b/>
          <w:bCs/>
        </w:rPr>
        <w:tab/>
        <w:t>Other adverse effects</w:t>
      </w:r>
      <w:r w:rsidRPr="00522F99">
        <w:t>: Do not discharge product into the environment without control. The product has not been tested. N/A</w:t>
      </w:r>
    </w:p>
    <w:p w:rsidR="00522F99" w:rsidRDefault="0057274F" w:rsidP="00522F99">
      <w:pPr>
        <w:ind w:left="720"/>
      </w:pPr>
      <w:r>
        <w:rPr>
          <w:b/>
          <w:bCs/>
          <w:noProof/>
        </w:rPr>
        <w:pict>
          <v:shape id="_x0000_s1107" type="#_x0000_t202" style="position:absolute;left:0;text-align:left;margin-left:.75pt;margin-top:12.85pt;width:559.7pt;height:24.9pt;z-index:2516730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p>
    <w:p w:rsidR="00522F99" w:rsidRPr="00522F99" w:rsidRDefault="00522F99" w:rsidP="00522F99">
      <w:pPr>
        <w:ind w:left="720"/>
        <w:rPr>
          <w:b/>
          <w:bCs/>
        </w:rPr>
      </w:pPr>
      <w:r w:rsidRPr="00522F99">
        <w:rPr>
          <w:b/>
          <w:bCs/>
        </w:rPr>
        <w:t>13.1 Disposal methods:</w:t>
      </w:r>
    </w:p>
    <w:p w:rsidR="00522F99" w:rsidRPr="00522F99" w:rsidRDefault="00522F99" w:rsidP="00522F99">
      <w:pPr>
        <w:ind w:left="720"/>
      </w:pPr>
      <w:r w:rsidRPr="00522F99">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522F99" w:rsidRDefault="00522F99" w:rsidP="00522F99">
      <w:pPr>
        <w:ind w:left="720"/>
      </w:pPr>
      <w:r w:rsidRPr="00522F99">
        <w:t xml:space="preserve">Waste must be disposed of in accordance with federal, state and local environmental control regulations. This material, when properly mixed and cured with its resin component at the proper mix ratio, may be safely land filled. Contaminated packaging: </w:t>
      </w:r>
      <w:r w:rsidR="00E62B9F">
        <w:t>E</w:t>
      </w:r>
      <w:r w:rsidRPr="00522F99">
        <w:t>mpty containers can only be disposed of when the remaining product adhering to the container walls has been removed. Hazard warning labels should be removed from the container only after it has been properly emptied.</w:t>
      </w:r>
    </w:p>
    <w:p w:rsidR="00522F99" w:rsidRPr="00522F99" w:rsidRDefault="00522F99" w:rsidP="00522F99">
      <w:pPr>
        <w:ind w:left="720"/>
        <w:rPr>
          <w:b/>
          <w:bCs/>
        </w:rPr>
      </w:pPr>
      <w:r w:rsidRPr="00522F99">
        <w:rPr>
          <w:b/>
          <w:bCs/>
        </w:rPr>
        <w:t>WASTE DISPOSAL METHOD:</w:t>
      </w:r>
    </w:p>
    <w:p w:rsidR="00522F99" w:rsidRDefault="0057274F" w:rsidP="00522F99">
      <w:pPr>
        <w:ind w:left="720"/>
      </w:pPr>
      <w:r>
        <w:rPr>
          <w:noProof/>
        </w:rPr>
        <w:pict>
          <v:shape id="_x0000_s1108" type="#_x0000_t202" style="position:absolute;left:0;text-align:left;margin-left:.75pt;margin-top:35.7pt;width:559.7pt;height:24.9pt;z-index:25167411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r w:rsidR="00522F99" w:rsidRPr="00522F99">
        <w:t>Burn in adequate incinerator or bury in an approved landfill; in accordance with local, state and federal regulations.</w:t>
      </w:r>
    </w:p>
    <w:p w:rsidR="00522F99" w:rsidRDefault="00522F99" w:rsidP="00522F99">
      <w:pPr>
        <w:ind w:left="720"/>
      </w:pPr>
    </w:p>
    <w:p w:rsidR="00522F99" w:rsidRPr="00522F99" w:rsidRDefault="00522F99" w:rsidP="00522F99">
      <w:pPr>
        <w:ind w:left="720"/>
        <w:sectPr w:rsidR="00522F99" w:rsidRPr="00522F99" w:rsidSect="00522F99">
          <w:type w:val="continuous"/>
          <w:pgSz w:w="12240" w:h="15840"/>
          <w:pgMar w:top="900" w:right="420" w:bottom="1260" w:left="600" w:header="720" w:footer="720" w:gutter="0"/>
          <w:cols w:space="720"/>
        </w:sectPr>
      </w:pPr>
    </w:p>
    <w:p w:rsidR="00522F99" w:rsidRPr="00522F99" w:rsidRDefault="00522F99" w:rsidP="00522F99">
      <w:pPr>
        <w:sectPr w:rsidR="00522F99" w:rsidRPr="00522F99" w:rsidSect="00522F99">
          <w:type w:val="continuous"/>
          <w:pgSz w:w="12240" w:h="15840"/>
          <w:pgMar w:top="900" w:right="420" w:bottom="1260" w:left="600" w:header="720" w:footer="720" w:gutter="0"/>
          <w:cols w:space="720"/>
        </w:sectPr>
      </w:pPr>
    </w:p>
    <w:p w:rsidR="00522F99" w:rsidRPr="00522F99" w:rsidRDefault="0057274F" w:rsidP="00522F99">
      <w:pPr>
        <w:sectPr w:rsidR="00522F99" w:rsidRPr="00522F99" w:rsidSect="00522F99">
          <w:type w:val="continuous"/>
          <w:pgSz w:w="12240" w:h="15840"/>
          <w:pgMar w:top="900" w:right="420" w:bottom="1260" w:left="600" w:header="720" w:footer="720" w:gutter="0"/>
          <w:cols w:space="720"/>
        </w:sectPr>
      </w:pPr>
      <w:r>
        <w:rPr>
          <w:noProof/>
        </w:rPr>
        <w:pict>
          <v:shape id="_x0000_s1109" type="#_x0000_t202" style="position:absolute;margin-left:.75pt;margin-top:134.35pt;width:559.7pt;height:24.9pt;z-index:25167718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r w:rsidR="00F50386">
        <w:rPr>
          <w:noProof/>
        </w:rPr>
        <w:drawing>
          <wp:anchor distT="0" distB="0" distL="0" distR="0" simplePos="0" relativeHeight="251658240" behindDoc="0" locked="0" layoutInCell="1" allowOverlap="1" wp14:anchorId="7371B138" wp14:editId="6BA8A82D">
            <wp:simplePos x="0" y="0"/>
            <wp:positionH relativeFrom="margin">
              <wp:posOffset>0</wp:posOffset>
            </wp:positionH>
            <wp:positionV relativeFrom="paragraph">
              <wp:posOffset>414655</wp:posOffset>
            </wp:positionV>
            <wp:extent cx="7127240" cy="1238250"/>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7127240" cy="1238250"/>
                    </a:xfrm>
                    <a:prstGeom prst="rect">
                      <a:avLst/>
                    </a:prstGeom>
                  </pic:spPr>
                </pic:pic>
              </a:graphicData>
            </a:graphic>
            <wp14:sizeRelH relativeFrom="margin">
              <wp14:pctWidth>0</wp14:pctWidth>
            </wp14:sizeRelH>
            <wp14:sizeRelV relativeFrom="margin">
              <wp14:pctHeight>0</wp14:pctHeight>
            </wp14:sizeRelV>
          </wp:anchor>
        </w:drawing>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E62B9F" w:rsidRPr="00E62B9F" w:rsidRDefault="00E62B9F" w:rsidP="00893B7A">
      <w:pPr>
        <w:rPr>
          <w:b/>
          <w:bCs/>
        </w:rPr>
      </w:pPr>
      <w:r w:rsidRPr="00E62B9F">
        <w:rPr>
          <w:b/>
          <w:bCs/>
        </w:rPr>
        <w:t>U.S. FEDERAL REGULATIONS:</w:t>
      </w:r>
    </w:p>
    <w:p w:rsidR="00E62B9F" w:rsidRPr="00E62B9F" w:rsidRDefault="00E62B9F" w:rsidP="00893B7A">
      <w:pPr>
        <w:ind w:left="720"/>
        <w:rPr>
          <w:b/>
        </w:rPr>
      </w:pPr>
      <w:r w:rsidRPr="00E62B9F">
        <w:rPr>
          <w:b/>
        </w:rPr>
        <w:t>TSCA (TOXIC SUBSTANCE CONTROL ACT):</w:t>
      </w:r>
    </w:p>
    <w:p w:rsidR="00E62B9F" w:rsidRPr="00E62B9F" w:rsidRDefault="00E62B9F" w:rsidP="00893B7A">
      <w:pPr>
        <w:ind w:left="720"/>
      </w:pPr>
      <w:r w:rsidRPr="00E62B9F">
        <w:t>The components of this product are contained on the chemical substance inventory list.</w:t>
      </w:r>
    </w:p>
    <w:p w:rsidR="00E62B9F" w:rsidRPr="00E62B9F" w:rsidRDefault="00E62B9F" w:rsidP="00893B7A">
      <w:pPr>
        <w:ind w:left="720"/>
        <w:rPr>
          <w:b/>
          <w:bCs/>
        </w:rPr>
      </w:pPr>
      <w:r w:rsidRPr="00E62B9F">
        <w:rPr>
          <w:b/>
          <w:bCs/>
        </w:rPr>
        <w:t>CERCLA (COMPREHENSIVE RESPONSE COMPENSATION, AND LIABILITY ACT):</w:t>
      </w:r>
    </w:p>
    <w:p w:rsidR="00E62B9F" w:rsidRPr="00E62B9F" w:rsidRDefault="00E62B9F" w:rsidP="00893B7A">
      <w:pPr>
        <w:ind w:left="720"/>
      </w:pPr>
      <w:r w:rsidRPr="00E62B9F">
        <w:t>Requires notification of the National Response Center of release of quantities of Hazardous Substances equal to or greater than the reportable quantities (RQ's) in 40 CFR 302.4. Components present in this product at level which could require reporting under the statute are:</w:t>
      </w:r>
    </w:p>
    <w:tbl>
      <w:tblPr>
        <w:tblW w:w="0" w:type="auto"/>
        <w:tblInd w:w="2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801" w:type="dxa"/>
          </w:tcPr>
          <w:p w:rsidR="00E62B9F" w:rsidRPr="00E62B9F" w:rsidRDefault="00E62B9F" w:rsidP="00E62B9F">
            <w:pPr>
              <w:rPr>
                <w:b/>
              </w:rPr>
            </w:pPr>
            <w:r w:rsidRPr="00E62B9F">
              <w:rPr>
                <w:b/>
              </w:rPr>
              <w:t>% By Weight</w:t>
            </w:r>
          </w:p>
        </w:tc>
        <w:tc>
          <w:tcPr>
            <w:tcW w:w="736" w:type="dxa"/>
          </w:tcPr>
          <w:p w:rsidR="00E62B9F" w:rsidRPr="00E62B9F" w:rsidRDefault="00E62B9F" w:rsidP="00E62B9F">
            <w:pPr>
              <w:rPr>
                <w:b/>
              </w:rPr>
            </w:pPr>
            <w:r w:rsidRPr="00E62B9F">
              <w:rPr>
                <w:b/>
              </w:rPr>
              <w:t>RQ</w:t>
            </w:r>
          </w:p>
        </w:tc>
      </w:tr>
      <w:tr w:rsidR="00E62B9F" w:rsidRPr="00E62B9F" w:rsidTr="00893B7A">
        <w:trPr>
          <w:trHeight w:hRule="exact" w:val="299"/>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801" w:type="dxa"/>
          </w:tcPr>
          <w:p w:rsidR="00E62B9F" w:rsidRPr="00E62B9F" w:rsidRDefault="00E62B9F" w:rsidP="00E62B9F">
            <w:r w:rsidRPr="00E62B9F">
              <w:t>N/A</w:t>
            </w:r>
          </w:p>
        </w:tc>
        <w:tc>
          <w:tcPr>
            <w:tcW w:w="736" w:type="dxa"/>
          </w:tcPr>
          <w:p w:rsidR="00E62B9F" w:rsidRPr="00E62B9F" w:rsidRDefault="00E62B9F" w:rsidP="00E62B9F">
            <w:r w:rsidRPr="00E62B9F">
              <w:t>N/A</w:t>
            </w:r>
          </w:p>
        </w:tc>
      </w:tr>
    </w:tbl>
    <w:p w:rsidR="00E62B9F" w:rsidRPr="00E62B9F" w:rsidRDefault="00E62B9F" w:rsidP="00893B7A">
      <w:pPr>
        <w:ind w:left="720"/>
        <w:rPr>
          <w:b/>
          <w:bCs/>
        </w:rPr>
      </w:pPr>
      <w:r w:rsidRPr="00E62B9F">
        <w:rPr>
          <w:b/>
          <w:bCs/>
        </w:rPr>
        <w:t>SARA TITLE III (SUPERFUND AMENDMENTS AND REAUTHORIZATION ACT):</w:t>
      </w:r>
    </w:p>
    <w:p w:rsidR="00E62B9F" w:rsidRPr="00E62B9F" w:rsidRDefault="00E62B9F" w:rsidP="00893B7A">
      <w:pPr>
        <w:ind w:left="720"/>
      </w:pPr>
      <w:r w:rsidRPr="00E62B9F">
        <w:t xml:space="preserve">Sections 301-304 require emergency planning based on Threshold Planning Quantities (TPQs) and release reporting based on Reportable Quantities (RQs) in 40 CFR 355. Components present in this product at a level which could </w:t>
      </w:r>
      <w:r w:rsidRPr="00E62B9F">
        <w:lastRenderedPageBreak/>
        <w:t>require reporting under this statute are:</w:t>
      </w:r>
    </w:p>
    <w:tbl>
      <w:tblPr>
        <w:tblpPr w:leftFromText="180" w:rightFromText="180" w:vertAnchor="text" w:horzAnchor="page" w:tblpX="3286" w:tblpY="10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0C750B" w:rsidRPr="00E62B9F" w:rsidTr="000C750B">
        <w:trPr>
          <w:trHeight w:hRule="exact" w:val="240"/>
        </w:trPr>
        <w:tc>
          <w:tcPr>
            <w:tcW w:w="1627" w:type="dxa"/>
          </w:tcPr>
          <w:p w:rsidR="000C750B" w:rsidRPr="00E62B9F" w:rsidRDefault="000C750B" w:rsidP="000C750B">
            <w:pPr>
              <w:rPr>
                <w:b/>
              </w:rPr>
            </w:pPr>
            <w:r w:rsidRPr="00E62B9F">
              <w:rPr>
                <w:b/>
              </w:rPr>
              <w:t>Chemical Name</w:t>
            </w:r>
          </w:p>
        </w:tc>
        <w:tc>
          <w:tcPr>
            <w:tcW w:w="1757" w:type="dxa"/>
          </w:tcPr>
          <w:p w:rsidR="000C750B" w:rsidRPr="00E62B9F" w:rsidRDefault="000C750B" w:rsidP="000C750B">
            <w:pPr>
              <w:rPr>
                <w:b/>
              </w:rPr>
            </w:pPr>
            <w:r w:rsidRPr="00E62B9F">
              <w:rPr>
                <w:b/>
              </w:rPr>
              <w:t>CAS Number</w:t>
            </w:r>
          </w:p>
        </w:tc>
        <w:tc>
          <w:tcPr>
            <w:tcW w:w="1426" w:type="dxa"/>
          </w:tcPr>
          <w:p w:rsidR="000C750B" w:rsidRPr="00E62B9F" w:rsidRDefault="000C750B" w:rsidP="000C750B">
            <w:pPr>
              <w:rPr>
                <w:b/>
              </w:rPr>
            </w:pPr>
            <w:r w:rsidRPr="00E62B9F">
              <w:rPr>
                <w:b/>
              </w:rPr>
              <w:t>% By Weight</w:t>
            </w:r>
          </w:p>
        </w:tc>
      </w:tr>
      <w:tr w:rsidR="000C750B" w:rsidRPr="00E62B9F" w:rsidTr="000C750B">
        <w:trPr>
          <w:trHeight w:hRule="exact" w:val="299"/>
        </w:trPr>
        <w:tc>
          <w:tcPr>
            <w:tcW w:w="1627" w:type="dxa"/>
          </w:tcPr>
          <w:p w:rsidR="000C750B" w:rsidRPr="00E62B9F" w:rsidRDefault="000C750B" w:rsidP="000C750B">
            <w:r w:rsidRPr="00E62B9F">
              <w:t>NONE</w:t>
            </w:r>
          </w:p>
        </w:tc>
        <w:tc>
          <w:tcPr>
            <w:tcW w:w="1757" w:type="dxa"/>
          </w:tcPr>
          <w:p w:rsidR="000C750B" w:rsidRPr="00E62B9F" w:rsidRDefault="000C750B" w:rsidP="000C750B">
            <w:r w:rsidRPr="00E62B9F">
              <w:t>N/A</w:t>
            </w:r>
          </w:p>
        </w:tc>
        <w:tc>
          <w:tcPr>
            <w:tcW w:w="1426" w:type="dxa"/>
          </w:tcPr>
          <w:p w:rsidR="000C750B" w:rsidRPr="00E62B9F" w:rsidRDefault="000C750B" w:rsidP="000C750B">
            <w:r w:rsidRPr="00E62B9F">
              <w:t>N/A</w:t>
            </w:r>
          </w:p>
        </w:tc>
      </w:tr>
    </w:tbl>
    <w:p w:rsidR="00A01BD1" w:rsidRDefault="00A01BD1" w:rsidP="00A01BD1">
      <w:pPr>
        <w:ind w:left="720"/>
        <w:rPr>
          <w:b/>
          <w:bCs/>
        </w:rPr>
      </w:pPr>
    </w:p>
    <w:p w:rsidR="00A01BD1" w:rsidRDefault="00A01BD1" w:rsidP="00A01BD1">
      <w:pPr>
        <w:ind w:left="720"/>
        <w:rPr>
          <w:b/>
          <w:bCs/>
        </w:rPr>
      </w:pPr>
    </w:p>
    <w:p w:rsidR="00A01BD1" w:rsidRDefault="00A01BD1" w:rsidP="00A01BD1">
      <w:pPr>
        <w:ind w:left="720"/>
        <w:rPr>
          <w:b/>
          <w:bCs/>
        </w:rPr>
      </w:pPr>
    </w:p>
    <w:p w:rsidR="00E62B9F" w:rsidRPr="00E62B9F" w:rsidRDefault="00E62B9F" w:rsidP="00A01BD1">
      <w:pPr>
        <w:ind w:left="720"/>
        <w:rPr>
          <w:b/>
          <w:bCs/>
        </w:rPr>
      </w:pPr>
      <w:r w:rsidRPr="00E62B9F">
        <w:rPr>
          <w:b/>
          <w:bCs/>
        </w:rPr>
        <w:t>311/312 HAZARD CATEGORIES:</w:t>
      </w:r>
    </w:p>
    <w:p w:rsidR="00A01BD1" w:rsidRPr="000C750B" w:rsidRDefault="00E62B9F" w:rsidP="000C750B">
      <w:pPr>
        <w:ind w:left="720"/>
      </w:pPr>
      <w:r w:rsidRPr="00E62B9F">
        <w:t>Sections 311-312 require products be reviewed and applicable EPA Hazard Definitions be identified and made known.</w:t>
      </w:r>
    </w:p>
    <w:p w:rsidR="00E62B9F" w:rsidRPr="00E62B9F" w:rsidRDefault="00E62B9F" w:rsidP="00893B7A">
      <w:pPr>
        <w:ind w:left="720"/>
        <w:rPr>
          <w:b/>
          <w:bCs/>
        </w:rPr>
      </w:pPr>
      <w:r w:rsidRPr="00E62B9F">
        <w:rPr>
          <w:b/>
          <w:bCs/>
        </w:rPr>
        <w:t>EPA HAZARD CLASSIFICATIONS:</w:t>
      </w:r>
    </w:p>
    <w:tbl>
      <w:tblPr>
        <w:tblW w:w="0" w:type="auto"/>
        <w:tblInd w:w="23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E62B9F" w:rsidRPr="00E62B9F" w:rsidTr="00893B7A">
        <w:trPr>
          <w:trHeight w:hRule="exact" w:val="438"/>
        </w:trPr>
        <w:tc>
          <w:tcPr>
            <w:tcW w:w="1654" w:type="dxa"/>
          </w:tcPr>
          <w:p w:rsidR="00E62B9F" w:rsidRPr="00E62B9F" w:rsidRDefault="00E62B9F" w:rsidP="00E62B9F">
            <w:pPr>
              <w:rPr>
                <w:b/>
              </w:rPr>
            </w:pPr>
            <w:r w:rsidRPr="00E62B9F">
              <w:rPr>
                <w:b/>
              </w:rPr>
              <w:t>Acute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Chronic Hazard</w:t>
            </w:r>
          </w:p>
          <w:p w:rsidR="00E62B9F" w:rsidRPr="00E62B9F" w:rsidRDefault="00E62B9F" w:rsidP="00E62B9F">
            <w:r w:rsidRPr="00E62B9F">
              <w:t>NO</w:t>
            </w:r>
          </w:p>
        </w:tc>
        <w:tc>
          <w:tcPr>
            <w:tcW w:w="1200" w:type="dxa"/>
          </w:tcPr>
          <w:p w:rsidR="00E62B9F" w:rsidRPr="00E62B9F" w:rsidRDefault="00E62B9F" w:rsidP="00E62B9F">
            <w:pPr>
              <w:rPr>
                <w:b/>
              </w:rPr>
            </w:pPr>
            <w:r w:rsidRPr="00E62B9F">
              <w:rPr>
                <w:b/>
              </w:rPr>
              <w:t>Fire Hazard</w:t>
            </w:r>
          </w:p>
          <w:p w:rsidR="00E62B9F" w:rsidRPr="00E62B9F" w:rsidRDefault="00E62B9F" w:rsidP="00E62B9F">
            <w:r w:rsidRPr="00E62B9F">
              <w:t>NO</w:t>
            </w:r>
          </w:p>
        </w:tc>
      </w:tr>
      <w:tr w:rsidR="00E62B9F" w:rsidRPr="00E62B9F" w:rsidTr="00893B7A">
        <w:trPr>
          <w:trHeight w:hRule="exact" w:val="538"/>
        </w:trPr>
        <w:tc>
          <w:tcPr>
            <w:tcW w:w="1654" w:type="dxa"/>
          </w:tcPr>
          <w:p w:rsidR="00E62B9F" w:rsidRPr="00E62B9F" w:rsidRDefault="00E62B9F" w:rsidP="00E62B9F">
            <w:pPr>
              <w:rPr>
                <w:b/>
              </w:rPr>
            </w:pPr>
            <w:r w:rsidRPr="00E62B9F">
              <w:rPr>
                <w:b/>
              </w:rPr>
              <w:t>Pressure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Reactive Hazard</w:t>
            </w:r>
          </w:p>
          <w:p w:rsidR="00E62B9F" w:rsidRPr="00E62B9F" w:rsidRDefault="00E62B9F" w:rsidP="00E62B9F">
            <w:r w:rsidRPr="00E62B9F">
              <w:t>NO</w:t>
            </w:r>
          </w:p>
        </w:tc>
        <w:tc>
          <w:tcPr>
            <w:tcW w:w="1200" w:type="dxa"/>
          </w:tcPr>
          <w:p w:rsidR="00E62B9F" w:rsidRPr="00E62B9F" w:rsidRDefault="00E62B9F" w:rsidP="00E62B9F"/>
        </w:tc>
      </w:tr>
    </w:tbl>
    <w:p w:rsidR="00E62B9F" w:rsidRPr="00E62B9F" w:rsidRDefault="00E62B9F" w:rsidP="00893B7A">
      <w:pPr>
        <w:ind w:left="720"/>
        <w:rPr>
          <w:b/>
        </w:rPr>
      </w:pPr>
      <w:r w:rsidRPr="00E62B9F">
        <w:rPr>
          <w:b/>
        </w:rPr>
        <w:t>313 REPORTABLE INGREDIENTS:</w:t>
      </w:r>
    </w:p>
    <w:p w:rsidR="00E62B9F" w:rsidRPr="00E62B9F" w:rsidRDefault="00E62B9F" w:rsidP="00893B7A">
      <w:pPr>
        <w:ind w:left="720"/>
      </w:pPr>
      <w:r w:rsidRPr="00E62B9F">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22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426" w:type="dxa"/>
          </w:tcPr>
          <w:p w:rsidR="00E62B9F" w:rsidRPr="00E62B9F" w:rsidRDefault="00E62B9F" w:rsidP="00E62B9F">
            <w:pPr>
              <w:rPr>
                <w:b/>
              </w:rPr>
            </w:pPr>
            <w:r w:rsidRPr="00E62B9F">
              <w:rPr>
                <w:b/>
              </w:rPr>
              <w:t>% By Weight</w:t>
            </w:r>
          </w:p>
        </w:tc>
      </w:tr>
      <w:tr w:rsidR="00E62B9F" w:rsidRPr="00E62B9F" w:rsidTr="00893B7A">
        <w:trPr>
          <w:trHeight w:hRule="exact" w:val="283"/>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426" w:type="dxa"/>
          </w:tcPr>
          <w:p w:rsidR="00E62B9F" w:rsidRPr="00E62B9F" w:rsidRDefault="00E62B9F" w:rsidP="00E62B9F">
            <w:r w:rsidRPr="00E62B9F">
              <w:t>N/A</w:t>
            </w:r>
          </w:p>
        </w:tc>
      </w:tr>
    </w:tbl>
    <w:p w:rsidR="00893B7A" w:rsidRDefault="0057274F" w:rsidP="00893B7A">
      <w:pPr>
        <w:ind w:left="720"/>
      </w:pPr>
      <w:r>
        <w:rPr>
          <w:noProof/>
        </w:rPr>
        <w:pict>
          <v:shape id="_x0000_s1110" type="#_x0000_t202" style="position:absolute;left:0;text-align:left;margin-left:.75pt;margin-top:63.6pt;width:559.7pt;height:24.9pt;z-index:25167820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r w:rsidR="00E62B9F" w:rsidRPr="00E62B9F">
        <w:rPr>
          <w:b/>
        </w:rPr>
        <w:t xml:space="preserve">SECTION 15 NOTES: </w:t>
      </w:r>
      <w:r w:rsidR="00E62B9F" w:rsidRPr="00E62B9F">
        <w:t>If you are unsure if you must report more information, call the EPA Emergency Planning and Right-To-Know Hot Line: 800-535-0202 or 202-479-2449. The concentrations shown in this document are maximum or ceiling levels (expressed in weight %, unless otherwise specified) o be used for regulations. Trade Secrets are indicated by "TS".</w:t>
      </w: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3"/>
      <w:footerReference w:type="default" r:id="rId14"/>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4F" w:rsidRDefault="0057274F">
      <w:r>
        <w:separator/>
      </w:r>
    </w:p>
  </w:endnote>
  <w:endnote w:type="continuationSeparator" w:id="0">
    <w:p w:rsidR="0057274F" w:rsidRDefault="0057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7274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2E2883">
                  <w:rPr>
                    <w:noProof/>
                    <w:color w:val="231F20"/>
                    <w:w w:val="105"/>
                    <w:sz w:val="14"/>
                  </w:rPr>
                  <w:t>1</w:t>
                </w:r>
                <w:r>
                  <w:fldChar w:fldCharType="end"/>
                </w:r>
                <w:r w:rsidR="00893B7A">
                  <w:rPr>
                    <w:color w:val="231F20"/>
                    <w:w w:val="105"/>
                    <w:sz w:val="14"/>
                  </w:rPr>
                  <w:t xml:space="preserve"> OF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4F" w:rsidRDefault="0057274F">
      <w:r>
        <w:separator/>
      </w:r>
    </w:p>
  </w:footnote>
  <w:footnote w:type="continuationSeparator" w:id="0">
    <w:p w:rsidR="0057274F" w:rsidRDefault="0057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57274F"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3A58DB" w:rsidP="00730FE2">
                <w:pPr>
                  <w:rPr>
                    <w:sz w:val="40"/>
                    <w:szCs w:val="40"/>
                  </w:rPr>
                </w:pPr>
                <w:r>
                  <w:rPr>
                    <w:sz w:val="40"/>
                    <w:szCs w:val="40"/>
                  </w:rPr>
                  <w:t>MVB</w:t>
                </w:r>
                <w:r w:rsidR="00730FE2" w:rsidRPr="00E112C2">
                  <w:rPr>
                    <w:sz w:val="40"/>
                    <w:szCs w:val="40"/>
                  </w:rPr>
                  <w:t xml:space="preserve"> Part A</w:t>
                </w:r>
              </w:p>
              <w:p w:rsidR="00730FE2" w:rsidRDefault="00730FE2" w:rsidP="00730FE2">
                <w:r>
                  <w:t>February 15,</w:t>
                </w:r>
                <w:r w:rsidR="005A24C0">
                  <w:t xml:space="preserve"> </w:t>
                </w:r>
                <w:r>
                  <w:t>2017</w:t>
                </w:r>
              </w:p>
              <w:p w:rsidR="00730FE2" w:rsidRDefault="00730FE2" w:rsidP="00730FE2"/>
            </w:txbxContent>
          </v:textbox>
          <w10:wrap type="square"/>
        </v:shape>
      </w:pict>
    </w:r>
    <w:r w:rsidR="00730FE2">
      <w:rPr>
        <w:rFonts w:ascii="Times New Roman"/>
        <w:noProof/>
        <w:sz w:val="20"/>
      </w:rPr>
      <w:drawing>
        <wp:inline distT="0" distB="0" distL="0" distR="0" wp14:anchorId="54987A9A" wp14:editId="78A45895">
          <wp:extent cx="3218688" cy="1062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p>
  <w:p w:rsidR="00730FE2" w:rsidRDefault="00730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74720"/>
    <w:rsid w:val="000C750B"/>
    <w:rsid w:val="000F50AC"/>
    <w:rsid w:val="00205873"/>
    <w:rsid w:val="00215F1D"/>
    <w:rsid w:val="00231706"/>
    <w:rsid w:val="0028425E"/>
    <w:rsid w:val="002E2883"/>
    <w:rsid w:val="0039516E"/>
    <w:rsid w:val="003A4F00"/>
    <w:rsid w:val="003A58DB"/>
    <w:rsid w:val="004A0639"/>
    <w:rsid w:val="004F4B9C"/>
    <w:rsid w:val="00522F99"/>
    <w:rsid w:val="00546D9D"/>
    <w:rsid w:val="005557D2"/>
    <w:rsid w:val="0057274F"/>
    <w:rsid w:val="005A24C0"/>
    <w:rsid w:val="005E112C"/>
    <w:rsid w:val="00617CC8"/>
    <w:rsid w:val="006678FE"/>
    <w:rsid w:val="0069395B"/>
    <w:rsid w:val="00730FE2"/>
    <w:rsid w:val="007D26DA"/>
    <w:rsid w:val="007F0C5C"/>
    <w:rsid w:val="00893B7A"/>
    <w:rsid w:val="008D362F"/>
    <w:rsid w:val="00912C2E"/>
    <w:rsid w:val="009434DA"/>
    <w:rsid w:val="009A439E"/>
    <w:rsid w:val="00A01BD1"/>
    <w:rsid w:val="00A04E11"/>
    <w:rsid w:val="00B35C41"/>
    <w:rsid w:val="00B757F5"/>
    <w:rsid w:val="00BC7F00"/>
    <w:rsid w:val="00C15CF6"/>
    <w:rsid w:val="00D13F12"/>
    <w:rsid w:val="00D931F6"/>
    <w:rsid w:val="00DB3446"/>
    <w:rsid w:val="00E112C2"/>
    <w:rsid w:val="00E62B9F"/>
    <w:rsid w:val="00ED2B2F"/>
    <w:rsid w:val="00EF1F75"/>
    <w:rsid w:val="00F144BE"/>
    <w:rsid w:val="00F34394"/>
    <w:rsid w:val="00F50386"/>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 w:type="table" w:customStyle="1" w:styleId="TableGrid1">
    <w:name w:val="Table Grid1"/>
    <w:basedOn w:val="TableNormal"/>
    <w:next w:val="TableGrid"/>
    <w:uiPriority w:val="39"/>
    <w:rsid w:val="00D1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65E3-9381-42B6-94FC-83914C50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8</cp:revision>
  <cp:lastPrinted>2017-02-15T17:40:00Z</cp:lastPrinted>
  <dcterms:created xsi:type="dcterms:W3CDTF">2017-02-16T20:07:00Z</dcterms:created>
  <dcterms:modified xsi:type="dcterms:W3CDTF">2017-04-05T14:32:00Z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